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304/2013 vom 3. März 2014</w:t>
      </w:r>
    </w:p>
    <w:p>
      <w:r>
        <w:t>Bundesgericht, 2014-03-03, FR</w:t>
      </w:r>
    </w:p>
    <w:p>
      <w:r>
        <w:rPr>
          <w:b/>
        </w:rPr>
        <w:t xml:space="preserve">Quelle: </w:t>
      </w:r>
      <w:r>
        <w:t>https://mcp.opencaselaw.ch/entscheid/bger_4A_304_2013</w:t>
      </w:r>
    </w:p>
    <w:p>
      <w:r>
        <w:t>FR: TF 4A 304/2013 du 3 mars 2014</w:t>
      </w:r>
    </w:p>
    <w:p>
      <w:r>
        <w:t>IT: TF 4A 304/2013 del 3 marzo 2014</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 mémoire qu'il a adressé au Tribunal fédéral, le recourant a employé le français. La réponse de l'intimée a été rédigée en allemand, celle de l'intimé en français. Conformément à sa pratique, le Tribunal fédéral adoptera la langue du recours et rendra, par conséquent, son arrêt en français.</w:t>
      </w:r>
    </w:p>
    <w:p>
      <w:r>
        <w:rPr>
          <w:b/>
        </w:rPr>
        <w:t>E. 2.1</w:t>
      </w:r>
    </w:p>
    <w:p>
      <w:r>
        <w:t>Dans le domaine de l'arbitrage international, le recours en matière civile est recevable contre les décisions de tribunaux arbitraux aux conditions prévues par les art. 190 à 192 LDIP ( art. 77 al. 1 let. a LTF ). Le siège du TAS se trouve à Lausanne. L'une des parties au moins (en l'occurrence, le recourant et deux des trois intimés) n'avait pas son domicile en Suisse au moment déterminant. Les dispositions du chapitre 12 de la LDIP sont donc applicables ( art. 176 al. 1 LDIP ). La sentence déférée revêt un caractère final et peut donc être attaquée pour l'ensemble des motifs prévus à l' art. 190 al. 2 LDIP . Les griefs soulevés par le recourant ne sortent pas de ce cadre procédural. Le recourant, qui a pris part à la procédure devant le TAS, est particulièrement touché par la sentence attaquée, car celle-ci confirme une décision le condamnant solidairement avec le joueur à payer la somme de 4'500'000 euros, intérêts en sus, à l'intimé et lui interdisant d'enregistrer de nouveaux joueurs, au niveau national et international, au cours des deux périodes consécutives d'enregistrement à venir. Il a ainsi un intérêt personnel, actuel et digne de protection à ce que cette sentence n'ait pas été rendue en violation des garanties découlant de l' art. 190 al. 2 LDIP , ce qui lui confère la qualité pour recourir ( art. 76 al. 1 LTF ). Le recours, dûment motivé ( art. 42 al. 1 et 2 LTF ), a été formé en temps utile. En vertu de l' art. 100 al. 1 LTF , le recours contre une décision doit être déposé devant le Tribunal fédéral dans les 30 jours qui suivent la notification de l'expédition complète. En l'espèce, la sentence motivée a été notifiée au recourant le 3 juillet 2013. En déposant son mémoire complémentaire le 3 septembre 2013, 30 jours après le lendemain de la réception de celle-ci (cf. art. 44 al. 1 LTF ), compte tenu de la suspension du délai de recours entre le 15 juillet et le 15 août 2013 (cf. art. 46 al. 1 let. b LTF ), le recourant a donc respecté le délai légal dans lequel il devait saisir le Tribunal fédéral. Quant au mémoire de recours qu'il avait déposé le 10 juin 2013, en y formulant une demande d'effet suspensif, pour prématuré qu'il fût, il n'en était pas moins recevable (cf. ATF 117 Ia 328 consid. 1 a et les arrêts cités). Les deux écritures successives ne forment d'ailleurs matériellement qu'un seul recours, si bien que tous les griefs qui y sont articulés seront examinés simultanément (arrêt 4P.44/2005 du 21 juin 2005 consid. 1.3). La première d'entre elles, il est vrai, n'en soulève point, ce qui est logique puisqu'elle a été déposée avant que son auteur eût pris connaissance des motifs énoncés par le TAS. Rien ne s'oppose, partant, à l'entrée en matière.</w:t>
      </w:r>
    </w:p>
    <w:p>
      <w:r>
        <w:rPr>
          <w:b/>
        </w:rPr>
        <w:t>E. 2.2</w:t>
      </w:r>
    </w:p>
    <w:p>
      <w:r>
        <w:t>Le recours en matière d'arbitrage international ne peut être formé que pour l'un des motifs énumérés de manière exhaustive à l' art. 190 al. 2 LDIP . Sont inapplicables à ce recours les art. 90 à 98 LTF, entre autres dispositions ( art. 77 al. 2 LTF ), ce qui exclut, notamment, la possibilité d'invoquer le moyen pris de l'application arbitraire du droit. L'examen matériel d'une sentence arbitrale internationale, par le Tribunal fédéral, est limité à la question de la compatibilité de la sentence avec l'ordre public ( ATF 121 III 331 consid. 3a). Au demeurant, seuls sont examinés les griefs qui ont été invoqués et motivés par le recourant ( art. 77 al. 3 LTF ).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L'état de fait à la base de la sentence attaquée peut toutefois être revu si l'un des griefs mentionnés à l' art. 190 al. 2 LDIP est soulevé à l'encontre dudit état de fait ou que des faits ou des moyens de preuve nouveaux sont exceptionnellement pris en considération dans le cadre de la procédure du recours en matière civile (arrêt 4A_428/2011 du 13 février 2012 consid. 1.6 et les précédents cités).</w:t>
      </w:r>
    </w:p>
    <w:p>
      <w:r>
        <w:rPr>
          <w:b/>
        </w:rPr>
        <w:t>E. 3</w:t>
      </w:r>
    </w:p>
    <w:p>
      <w:r>
        <w:t>Dans sa réponse, l'intimé soulève une objection préliminaire. Selon lui, le recourant se prévaudrait de droits strictement personnels appartenant au seul joueur. Or, à l'en croire, la violation de tels droits, étant donné leur nature spécifique, ne pouvait être dénoncée que par leur titulaire. Dès lors, le recourant n'aurait pas la légitimation active pour se plaindre de l'atteinte prétendument portée aux droits de la personnalité du joueur ( exceptio de jure tertii ) et à la liberté économique de ce travailleur, ni pour faire reconnaître le caractère excessif des engagements pris par cette personne physique. Il en découlerait d'emblée l'irrecevabilité ou, à tout le moins, l'absence de fondement du recours. Tel n'est pas le cas. L'art. 17 al. 2 RSTJ institue une responsabilité solidaire, en ce qui concerne le paiement de l'indemnité pour rupture de contrat sans juste cause, entre le joueur professionnel ayant rompu son contrat de travail et le nouveau club de ce joueur. Comme la disposition citée ne règle pas les modalités de cette solidarité passive, la question doit être tranchée au regard du droit suisse, que ce soit en vertu de l'art. 58 du Code de l'arbitrage en matière de sport, l'intimée ayant son siège en Suisse, ou de l'art. 66 al. 2 des Statuts de l'intimée, qui prévoit l'application du droit suisse à titre supplétif (cf. sentence, n. 83 à 86). Or, l'art. 145 du code suisse des obligations (CO) permet à un débiteur solidaire d'opposer au créancier les exceptions qui résultent de la cause de l'obligation solidaire ou, plus précisément, du titre même qui fonde cette obligation (cf. parmi d'autres: PIERRE ENGEL, Traité des obligations en droit suisse, 2e éd. 1997, p. 841; HEIERLI/SCHNYDER, in Commentaire bâlois, Obligationenrecht I, 5e éd. 2011, n° 1 ad art. 145 CO ). C'est ce que tente de faire le recourant, en l'occurrence, de manière indirecte à tout le moins, en soutenant, en substance, que le TAS a violé l'ordre public pour avoir entériné, dans sa sentence, une décision qui avait imputé au joueur une rupture injustifiée du contrat le liant à l'intimé, et ce en méconnaissant les droits de la personnalité et la liberté économique de l'intéressé, dont la prise en compte eût démontré l'existence d'une rupture de contrat pour juste cause (art. 14 RSTJ) et, partant, l'inexistence de la dette solidaire du joueur et de son nouveau club envers l'intimé. La situation eût été différente, du point de vue juridique, si le recourant avait assigné l'ancien club du joueur afin d'obtenir lui-même des dommages-intérêts pour la supposée atteinte aux droits de la personnalité du joueur commise par le défendeur. Ce dernier lui aurait alors sans doute opposé avec succès son défaut de légitimation active. Toutefois, comme on vient de le voir, ce cas de figure ne correspond pas aux circonstances de la présente espèce. De surcroît, et indépendamment de toute question de solidarité passive, force est de souligner que le recourant s'est vu infliger une sanction sportive qui ne touche que lui, sous la forme d'une interdiction temporaire d'engager de nouveaux joueurs. Aussi, comme cette sanction découle de ce qu'il est présumé avoir incité le joueur à rompre son contrat (cf. art. 17 al. 4 RSTJ), est-il normal de lui permettre de démontrer, dans les limites des griefs procéduralement admissibles, qu'il n'y a pas eu de rupture de contrat sans juste cause de la part du joueur ni, partant, d'incitation à le faire de sa part à lui, le recourant.</w:t>
      </w:r>
    </w:p>
    <w:p>
      <w:r>
        <w:rPr>
          <w:b/>
        </w:rPr>
        <w:t>E. 4.1</w:t>
      </w:r>
    </w:p>
    <w:p>
      <w:r>
        <w:t>Dans un premier moyen, le recourant se plaint de la violation de son droit d'être entendu. Selon lui, les arbitres auraient tout simplement omis de trancher la question de la "quotité du salaire" du joueur pour l'année 2010/2011. Et d'ajouter que cette question était "essentielle" pour le sort du litige, plus particulièrement pour établir l'existence d'une atteinte aux droits fondamentaux du joueur. Ces remarques liminaires faites, le recourant cherche ensuite à démontrer que, si la Formation avait interprété correctement la disposition topique du contrat de travail à la lumière du RSTJ, elle aurait dû retenir que la saison 2010/2011 avait pris fin le 5 juin 2011; que le joueur aurait dû recevoir au plus tard le 30 juin 2011 son salaire de 1'200'000 euros pour la saison écoulée; qu'il n'avait reçu, à cette date, que 1'031'722 euros; enfin, que les paiements effectués par l'intimé après cette date étaient intervenus au titre du salaire afférent à la saison 2011/2012.</w:t>
      </w:r>
    </w:p>
    <w:p>
      <w:r>
        <w:rPr>
          <w:b/>
        </w:rPr>
        <w:t>E. 4.2</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Le moyen est dénué de tout fondement, si tant est qu'il ne soit pas déjà irrecevable en raison de sa motivation insuffisante. D'une part et quoi qu'en dise le recourant, les arbitres ont admis, sur la base de leurs constatations de fait et de leur interprétation du contrat de travail, que l'intimé avait respecté toutes ses obligations financières envers le joueur pour la saison 2010/2011 (sentence, n. 210 à 219). Semblable conclusion est soustraite à l'examen de la Cour de céans puisqu'elle découle de l'appréciation des preuves et de l'application du droit. D'autre part, le recourant ne tente même pas de démontrer en quoi la question du montant du salaire du joueur pour l'année 2010/2011 serait essentielle, alors que celui-ci ne s'en est jamais servi comme motif pour justifier la résiliation de son contrat de travail.</w:t>
      </w:r>
    </w:p>
    <w:p>
      <w:r>
        <w:rPr>
          <w:b/>
        </w:rPr>
        <w:t>E. 5</w:t>
      </w:r>
    </w:p>
    <w:p>
      <w:r>
        <w:t>Dans un second moyen, divisé en plusieurs branches, le recourant soutient que la sentence attaquée viole l'ordre public matériel et l'ordre public procédural, au sens de l' art. 190 al. 2 let . e LDIP, à maints égards. Avant d'examiner le mérite des critiques formulées à l'appui de ce moyen, il convient de rappeler ce que recouvre la notion d'ordre public visée par cette disposition.</w:t>
      </w:r>
    </w:p>
    <w:p>
      <w:r>
        <w:rPr>
          <w:b/>
        </w:rPr>
        <w:t>E. 5.1.1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Dans sa jurisprudence la plus récente, le Tribunal fédéral a donné de cette dernière notion la définition rappelée ci-après (même arrêt, consid. 2.2.1).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sans conteste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 4A_458/2009 du 10 juin 2010 consid. 4.1).</w:t>
      </w:r>
    </w:p>
    <w:p>
      <w:r>
        <w:rPr>
          <w:b/>
        </w:rPr>
        <w:t>E. 5.1.2</w:t>
      </w:r>
    </w:p>
    <w:p>
      <w:r>
        <w:t>L'ordre public procédural, au sens de l' art. 190 al. 2 let . e LDIP,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Pour le reste, l'ordre public procédural n'est qu'une garantie subsidiaire et constitue, à ce titre, une norme de précaution pour les vices de procédure auxquels le législateur n'aurait pas songé en adoptant les autres lettres de l' art. 190 al. 2 LDIP ( ATF 138 III 270 consid. 2.3).</w:t>
      </w:r>
    </w:p>
    <w:p>
      <w:r>
        <w:rPr>
          <w:b/>
        </w:rPr>
        <w:t>E. 5.2.1</w:t>
      </w:r>
    </w:p>
    <w:p>
      <w:r>
        <w:t>Sous le titre "Violation de la liberté économique du Joueur", le recourant reproche, tout d'abord, à la Formation d'avoir porté atteinte à cette liberté, garantie par l' art. 27 Cst. , en privant le joueur d'une partie de son salaire et, indirectement, du libre exercice d'une activité lucrative. Pour en arriver là, les arbitres, selon lui, auraient constaté les faits de façon manifestement incorrecte et interprété la clause pertinente du contrat de travail en méconnaissant l'interdiction de l'arbitraire, au sens de l' art. 9 Cst. Le simple énoncé du grief en démontre l'inanité. La tentative du recourant de remettre en question les constatations souveraines de la Formation et les déductions juridiques qu'elle en a tirées est d'emblée vouée à l'échec pour les motifs sus-indiqués (cf. consid. 2.2). En tout état de cause, la prémisse du raisonnement tenu par le recourant est à l'évidence erronée, étant donné que les arbitres ont retenu que le joueur avait reçu l'intégralité de son salaire concernant la saison 2010/2011. Le débat est donc clos.</w:t>
      </w:r>
    </w:p>
    <w:p>
      <w:r>
        <w:rPr>
          <w:b/>
        </w:rPr>
        <w:t>E. 5.2.2</w:t>
      </w:r>
    </w:p>
    <w:p>
      <w:r>
        <w:t>Le recourant fait encore grief à la Formation d'avoir violé les droits de la personnalité ( art. 28 CC ) et la liberté personnelle ( art. 10 al. 2 Cst. ) du joueur en le désenregistrant, ce qui aurait eu pour effet de l'écarter durablement de la compétition et de le priver de la possibilité même d'exercer son métier. Il est exact que, suivant les circonstances, une atteinte aux droits de la personnalité du joueur peut être contraire à l'ordre public matériel ( ATF 138 III 322 consid. 4.3.1 et 4.3.2). Vrai est-il aussi qu'un travailleur peut avoir un intérêt légitime à fournir effectivement sa prestation, afin d'éviter de se déprécier sur le marché du travail et de compromettre son avenir professionnel, et qu'il en va ainsi en particulier des footballeurs professionnels ( ATF 137 III 303 consid. 2.1.2 p. 307 et les références). La Formation le reconnaît du reste elle-même en admettant, avec la CRL, que le désenregistrement d'un joueur peut entraîner en soi une violation des droits de la personnalité de ce dernier (sentence, n. 222). Cependant, pour elle, les circonstances du cas concret étaient telles que semblable conclusion ne pouvait pas être tirée. Aussi bien, le caractère provisoire de cette mesure, qui ne devait déployer ses effets que pour cinq matchs au maximum, le fait que le joueur avait continué à s'entraîner avec l'intimé et à percevoir son salaire durant la période de désenregistrement, enfin l'absence de doléances avant le 23 janvier 2012 de la soi-disant victime d'une atteinte aux droits de la personnalité, tous ces éléments interdisaient d'admettre, en l'espèce, la violation alléguée par le recourant. Pareille appréciation de la situation est marquée au coin du bon sens et échappe, partant, à toute critique. Pour la contester, le recourant en est d'ailleurs réduit, une fois de plus, à s'écarter des faits constatés dans la sentence et à soutenir, notamment, que le désenregistrement du joueur a été effectué pour une durée indéterminée (recours, n. 75). Au demeurant, à supposer qu'il eût ressenti sa mise à l'écart temporaire comme une atteinte à sa personnalité, contrairement à ce que l'on peut déduire de son défaut de réaction en temps opportun, le joueur aurait dû commencer par inviter l'intimé à le réenregistrer sur- le-champ, sous la menace d'une rupture immédiate des rapports de travail. Ce n'est que dans l'hypothèse où cet avertissement préalable serait demeuré vain qu'il eût pu, alors seulement, rompre le contrat avec effet immédiat pour juste cause. Par conséquent, le recourant fonde à tort son grief de violation de l'ordre public matériel sur la prétendue atteinte aux droits de la personnalité du joueur qu'aurait commise l'intimé.</w:t>
      </w:r>
    </w:p>
    <w:p>
      <w:r>
        <w:rPr>
          <w:b/>
        </w:rPr>
        <w:t>E. 5.2.3</w:t>
      </w:r>
    </w:p>
    <w:p>
      <w:r>
        <w:t>Les arbitres ont tiré des circonstances susmentionnées ayant entouré le désenregistrement temporaire du joueur la conclusion que ce dernier avait consenti à une telle mesure (sentence, n. 248). Sous l'angle de la violation de l'ordre public, le recourant soutient que cette conclusion résulte d'une méconnaissance des règles sur le fardeau de la preuve et, singulièrement, de l' art. 8 CC . De telles règles ne font pas partie de l'ordre public matériel au sens de l' art. 190 al. 2 let . e LDIP (arrêt 4A_458/2009, précité, consid. 4.4.10). Au demeurant, la Formation s'est forgé une opinion, quant à l'acceptation par le joueur de son désenregistrement temporaire, sur la base de sa propre appréciation des circonstances factuelles pertinentes. Or, lorsque l'appréciation des preuves convainc le juge qu'un fait est établi, la question du fardeau de la preuve devient sans objet (cf. ATF 128 III 22 consid. 2d p. 25 et les arrêts cités). Dans ces conditions, le grief examiné ne pourrait qu'être rejeté s'il n'était pas déjà irrecevable.</w:t>
      </w:r>
    </w:p>
    <w:p>
      <w:r>
        <w:rPr>
          <w:b/>
        </w:rPr>
        <w:t>E. 5.2.4</w:t>
      </w:r>
    </w:p>
    <w:p>
      <w:r>
        <w:t>Dans la dernière branche du grief considéré, le recourant se plaint du fait que les arbitres auraient méconnu l'interdiction des engagements excessifs, découlant de l' art. 27 al. 2 CC , en ne s'avisant pas des conséquences dommageables du désenregistrement de durée indéterminée auquel le footballeur avait consenti. Il doit toutefois se laisser opposer, ici aussi, le caractère provisoire de cette mesure, tel qu'il appert de la sentence attaquée, ce qui prive son ultime moyen de toute assise.</w:t>
      </w:r>
    </w:p>
    <w:p>
      <w:r>
        <w:rPr>
          <w:b/>
        </w:rPr>
        <w:t>E. 6</w:t>
      </w:r>
    </w:p>
    <w:p>
      <w:r>
        <w:t>Le recourant, qui succombe, devra payer les frais de la procédure fédérale ( art. 66 al. 1 LTF ). Il versera en outre des dépens aux intimés ( art. 68 al. 1 et 2 LTF ). En revanche, le joueur, qui n'a pas déposé de réponse, ne saurait lui réclamer une indemnité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