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4A_304/2012 vom 14. November 2012</w:t>
      </w:r>
    </w:p>
    <w:p>
      <w:r>
        <w:t>Bundesgericht, 2012-11-14, FR</w:t>
      </w:r>
    </w:p>
    <w:p>
      <w:r>
        <w:rPr>
          <w:b/>
        </w:rPr>
        <w:t xml:space="preserve">Quelle: </w:t>
      </w:r>
      <w:r>
        <w:t>https://mcp.opencaselaw.ch/entscheid/bger_4A_304_2012</w:t>
      </w:r>
    </w:p>
    <w:p>
      <w:r>
        <w:t>FR: TF 4A_304/2012 du 14 novembre 2012</w:t>
      </w:r>
    </w:p>
    <w:p>
      <w:r>
        <w:t>IT: TF 4A_304/2012 del 14 novembre 2012</w:t>
      </w:r>
    </w:p>
    <w:p>
      <w:pPr>
        <w:pStyle w:val="Heading2"/>
      </w:pPr>
      <w:r>
        <w:t>Erwägungen</w:t>
      </w:r>
    </w:p>
    <w:p>
      <w:r>
        <w:rPr>
          <w:b/>
        </w:rPr>
        <w:t>E. 1.1</w:t>
      </w:r>
    </w:p>
    <w:p>
      <w:r>
        <w:t>Selon l' art. 7 CPC , les cantons peuvent instituer un tribunal qui statue en tant qu'instance cantonale unique sur les litiges portant sur les assurances complémentaires à l'assurance-maladie sociale selon la loi fédérale du 8 mars 1994 sur l'assurance-maladie (LAMal; RS 832.10). Le canton de Genève a fait usage de cette faculté en prévoyant, à l' art. 134 al. 1 let . c de la loi genevoise sur l'organisation judiciaire du 26 septembre 2010 (LOJ; E 2 05), que la Chambre des assurances sociales connaît en instance cantonale unique des contestations relatives aux assurances complémentaires à l'assurance-maladie obligatoire.</w:t>
      </w:r>
    </w:p>
    <w:p>
      <w:r>
        <w:t>Avec l'entrée en vigueur du CPC, l'art. 74 al. 2 let. b et l' art. 75 al. 2 let. a LTF ont été modifiés en ce sens que la formule "une loi fédérale prescrit une instance cantonale unique" a été remplacée par la phrase "une loi fédérale prévoit une instance cantonale unique". Il ressort clairement des travaux préparatoires que la volonté du législateur, en adoptant cette modification, était d'englober non seulement les cas où le droit fédéral impose une instance cantonale unique, mais aussi les cas où il permet au droit cantonal de prévoir une instance cantonale unique et que le droit cantonal a fait usage de cette faculté (Procès-verbal de la séance du 3 avril 2008 de la Commission des affaires juridiques du Conseil national, p. 9; cf. arrêts 4A_595/2011 du 17 février 2012 consid. 1.1; 4A_445/2010 du 1er décembre 2010 consid. 1.1; 4A_412/2010 du 27 septembre 2010 consid. 1.2.3).</w:t>
      </w:r>
    </w:p>
    <w:p>
      <w:r>
        <w:t>Il résulte donc de l' art. 7 CPC que l'on se trouve en présence d'un cas où, selon la nouvelle formulation de la LTF, une loi fédérale prévoit une instance cantonale unique.</w:t>
      </w:r>
    </w:p>
    <w:p>
      <w:r>
        <w:t>En conséquence, la cour cantonale a valablement statué en instance unique ( art. 75 al. 2 let. a LTF ) et le recours est recevable sans égard à la valeur litigieuse ( art. 74 al. 2 let. b LTF ).</w:t>
      </w:r>
    </w:p>
    <w:p>
      <w:r>
        <w:t>L'argumentation de l'intimée tendant à l'irrecevabilité du recours doit donc être rejetée.</w:t>
      </w:r>
    </w:p>
    <w:p>
      <w:r>
        <w:rPr>
          <w:b/>
        </w:rPr>
        <w:t>E. 1.2</w:t>
      </w:r>
    </w:p>
    <w:p>
      <w:r>
        <w:t>Formé par la partie qui a succombé partiellement dans ses conclusions en paiement et qui a donc qualité pour recourir ( art. 76 al. 1 LTF ), dirigé contre un arrêt final ( art. 90 LTF ) rendu en matière civile ( art. 72 al. 1 LTF ; cf. infra consid. 2.1), le recours est recevable, puisqu'il a été déposé dans le délai (art. 45 al. 1, 48 al. 1 et 100 al. 1 LTF) et la forme ( art. 42 LTF ) prévus par la loi.</w:t>
      </w:r>
    </w:p>
    <w:p>
      <w:r>
        <w:rPr>
          <w:b/>
        </w:rPr>
        <w:t>E. 1.3</w:t>
      </w:r>
    </w:p>
    <w:p>
      <w:r>
        <w:t>Le recours peut être interjeté pour violation du droit, tel qu'il est délimité par les art. 95 et 96 LTF . Il peut donc être formé pour violation d'une norme de droit fédéral comme l' art. 61 LCA ( art. 95 let. a LTF ).</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présenter une motivation répondant aux exigences strictes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les deux parties adoptent expressément l'état de fait figurant dans la décision attaquée et, dès lors que l'on ne voit pas en quoi celui-ci aurait été établi arbitrairement, il n'y a pas lieu de s'en écarter.</w:t>
      </w:r>
    </w:p>
    <w:p>
      <w:r>
        <w:rPr>
          <w:b/>
        </w:rPr>
        <w:t>E. 1.5</w:t>
      </w:r>
    </w:p>
    <w:p>
      <w:r>
        <w:t>Le Tribunal fédéral ne peut aller au-delà des conclusions des parties ( art. 107 al. 1 LTF ). Toute conclusion nouvelle est irrecevable ( art. 99 al. 1 LTF ).</w:t>
      </w:r>
    </w:p>
    <w:p>
      <w:r>
        <w:t>Si le Tribunal fédéral admet le recours, il statue lui-même sur le fond ou renvoie l'affaire à l'autorité précédente pour qu'elle prenne une nouvelle décision ( art. 107 al. 2 LTF ).</w:t>
      </w:r>
    </w:p>
    <w:p>
      <w:r>
        <w:rPr>
          <w:b/>
        </w:rPr>
        <w:t>E. 2.1</w:t>
      </w:r>
    </w:p>
    <w:p>
      <w:r>
        <w:t>Il ressort des constatations cantonales - qui lient le Tribunal fédéral ( art. 105 al. 1 LTF ) - que la recourante est au bénéfice d'un contrat d'assurance conclu avec l'intimée, qui oblige cette dernière, à certaines conditions, à verser à la recourante des indemnités journalières en cas de perte de gain causée par la maladie.</w:t>
      </w:r>
    </w:p>
    <w:p>
      <w:r>
        <w:t>Dans le domaine de l'assurance couvrant le risque de perte de gain en cas de maladie, les parties peuvent librement choisir soit de conclure une assurance sociale d'indemnités journalières régie par les art. 67 à 77 LAMal, soit de conclure une assurance d'indemnités journalières soumise à la loi fédérale du 2 avril 1908 sur le contrat d'assurance (LCA; RS 221.229.1) (arrêt 4A_595/2011 du 17 février 2012 consid. 2.1; 4A_373/2010 du 10 novembre 2010 consid. 2.1). En l'occurrence, il ressort des constatations cantonales que le contrat conclu prévoit expressément qu'il est soumis à la LCA. Il s'agit donc d'une assurance complémentaire à l'assurance sociale relevant du droit privé ( art. 12 al. 2 et 3 LAMal ; ATF 133 III 439 consid. 2.1 p. 441 s.).</w:t>
      </w:r>
    </w:p>
    <w:p>
      <w:r>
        <w:rPr>
          <w:b/>
        </w:rPr>
        <w:t>E. 2.2</w:t>
      </w:r>
    </w:p>
    <w:p>
      <w:r>
        <w:t>L' 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w:t>
      </w:r>
    </w:p>
    <w:p>
      <w:r>
        <w:t>Il a été jugé que l' art. 61 LCA ,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 ATF 133 III 527 consid. 3.2.1 p. 531; 128 III 34 consid. 3b p. 36; arrêt 5C.18/2006 du 18 octobre 2006 consid. 7.1 publié in SJ 2007 I p. 238). Il n'y a pas lieu de s'écarter de cette jurisprudence constante.</w:t>
      </w:r>
    </w:p>
    <w:p>
      <w:r>
        <w:t>Dès lors que l'assurance d'espèce est soumise à la LCA, il faut donc appliquer le principe contenu à l' art. 61 LCA et l'argumentation de la recourante, fondée sur le fait qu'il s'agit d'une assurance de sommes, doit être rejetée.</w:t>
      </w:r>
    </w:p>
    <w:p>
      <w:r>
        <w:rPr>
          <w:b/>
        </w:rPr>
        <w:t>E. 2.3</w:t>
      </w:r>
    </w:p>
    <w:p>
      <w:r>
        <w:t>L'obligation de réduire le dommage découlant de l' art. 61 LCA peut impliquer, dans le domaine de l'assurance des indemnités journalières, l'obligation pour l'assuré de changer d'activité professionnelle, si cela peut raisonnablement être exigé de lui ( ATF 133 III 527 consid. 3.2.1 p. 531 et les arrêts cités).</w:t>
      </w:r>
    </w:p>
    <w:p>
      <w:r>
        <w:t>L'assureur qui entend faire application de l' art. 61 al. 2 LCA doit inviter l'assuré à changer d'activité et lui impartir pour cela un délai d'adaptation approprié pour s'accommoder aux nouvelles conditions ainsi que pour trouver un emploi; en règle générale, un délai de trois à cinq mois doit être considéré comme adéquat ( ATF 133 III 527 consid. 3.2.1 p. 531 et les arrêts cités; cf. aussi: arrêt 5C.74/2002 du 7 mai 2002 consid. 3a et c).</w:t>
      </w:r>
    </w:p>
    <w:p>
      <w:r>
        <w:t>Il incombe à l'assureur, qui n'entend pas indemniser la totalité du dommage subi par l'assuré, de prouver que celui-ci a violé son devoir de réduire le dommage (cf. art. 8 CC ; PETER DIENER, Verminderung von Gefahr und Schaden im Versicherungsvertragsverhältnis, 1970, p. 106). A cet égard, il lui appartient de démontrer que les mesures tendant à diminuer le dommage qui n'ont pas été prises par l'assuré pouvaient raisonnablement être exigées de celui-ci (HÖNGER/SÜSSKIND, in Basler Kommentar, Bundesgesetz über den Versicherungsvertrag, 2001, no 30 ad art. 61 LCA ; DIENER, op. cit., p. 106).</w:t>
      </w:r>
    </w:p>
    <w:p>
      <w:r>
        <w:rPr>
          <w:b/>
        </w:rPr>
        <w:t>E. 2.4</w:t>
      </w:r>
    </w:p>
    <w:p>
      <w:r>
        <w:t>En l'espèce, la cour cantonale a considéré que l'expertise privée produite par l'assureur était convaincante. Elle a retenu - conformément à l'opinion de l'expert - que la recourante pourrait recouvrer une capacité de travail de 100% si elle exerçait une activité adaptée à son état. Elle a alors estimé qu'on pouvait attendre de l'assurée qu'elle change d'activité professionnelle et lui a accordé pour cela un délai d'adaptation de cinq mois.</w:t>
      </w:r>
    </w:p>
    <w:p>
      <w:r>
        <w:t>Force est de constater que l'expert, dans la limite du mandat qui lui a été confié, se borne à affirmer que, d'un point de vue médico-théorique, l'assurée pourrait retrouver une capacité de travail de 100% si elle exerçait une activité adaptée à son état. L'expertise ne donne par contre aucune indication sur les chances concrètes de l'assurée de pouvoir exercer une telle activité. Or, l' art. 61 al. 2 LCA ne permet pas à l'assureur de réduire ses prestations dans la perspective d'un changement d'activité purement théorique, qui n'est concrètement pas réalisable. Le juge doit procéder à une analyse concrète de la situation. Il doit se demander, en fonction de l'âge de l'assurée et de l'état du marché du travail, quels sont ses chances réelles de trouver un emploi qui tient compte de ses limitations fonctionnelles. Il doit également examiner en fonction de la formation, de l'expérience et de l'âge de l'assurée, si un tel changement d'activité peut réellement être exigé d'elle.</w:t>
      </w:r>
    </w:p>
    <w:p>
      <w:r>
        <w:t>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(sur le critère cf. arrêt 5C.74/2002 déjà cité consid. 3c; HÖNGER/SÜSSKIND, op. cit., no 15 ad art. 61 LCA ; ALFRED MAURER, Schweizerisches Privatversicherungsrecht, 3e éd. 1995, p. 344 et les références). Un tel changement ne peut dès lors être raisonnablement imposé à l'assurée qu'à la condition que celle-ci puisse réaliser, dans une activité à plein temps adaptée à sa situation, un revenu supérieur à celui acquis dans l'exercice de son activité actuelle à 50%.</w:t>
      </w:r>
    </w:p>
    <w:p>
      <w:r>
        <w:t>En l'occurrence, ni le rapport d'expertise, ni l'arrêt cantonal ne disent mot de la profession qui, en fonction des critères évoqués ci-dessus, pourrait raisonnablement être exigée de l'assurée, de même que des possibilités de gain que cette nouvelle activité offrirait à celle-ci. A considérer qu'un changement professionnel puisse être exigé, aucune constatation ne permet en outre de déterminer le délai d'adaptation (qui permettrait de réaliser une formation complémentaire, voire une reconversion professionnelle) qui devrait être accordé à l'assurée.</w:t>
      </w:r>
    </w:p>
    <w:p>
      <w:r>
        <w:t>Dans ces circonstances, il n'était pas admissible d'admettre la réduction plaidée par l'assureur en se fondant exclusivement sur l'analyse médico-théorique contenue dans le rapport d'expertise. La cour cantonale a ainsi transgressé l' art. 61 al. 2 LCA .</w:t>
      </w:r>
    </w:p>
    <w:p>
      <w:r>
        <w:t>Les constatations de fait sont insuffisantes pour que la Cour de céans puisse se prononcer à la place de l'autorité précédente. Il y a donc lieu de lui renvoyer la cause pour qu'elle prenne une nouvelle décision ( art. 107 al. 2 LTF ).</w:t>
      </w:r>
    </w:p>
    <w:p>
      <w:r>
        <w:rPr>
          <w:b/>
        </w:rPr>
        <w:t>E. 3</w:t>
      </w:r>
    </w:p>
    <w:p>
      <w:r>
        <w:t>En conclusion, il y a lieu d'admettre le recours, d'annuler l'arrêt attaqué et de renvoyer l'affaire à l'autorité cantonale qui devra compléter l'état de fait avant de déterminer, sur la base des critères mentionnés plus haut, si un changement d'activité pouvait raisonnablement être exigé de l'assurée.</w:t>
      </w:r>
    </w:p>
    <w:p>
      <w:r>
        <w:t>Les frais judiciaires et les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