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4A_303/2010 vom 11. August 2010</w:t>
      </w:r>
    </w:p>
    <w:p>
      <w:r>
        <w:t>Bundesgericht, 2010-08-11, FR</w:t>
      </w:r>
    </w:p>
    <w:p>
      <w:r>
        <w:rPr>
          <w:b/>
        </w:rPr>
        <w:t xml:space="preserve">Quelle: </w:t>
      </w:r>
      <w:r>
        <w:t>https://mcp.opencaselaw.ch/entscheid/bger_4A_303_2010</w:t>
      </w:r>
    </w:p>
    <w:p>
      <w:r>
        <w:t>FR: TF 4A_303/2010 du 11 août 2010</w:t>
      </w:r>
    </w:p>
    <w:p>
      <w:r>
        <w:t>IT: TF 4A_303/2010 del 11 agosto 2010</w:t>
      </w:r>
    </w:p>
    <w:p>
      <w:pPr>
        <w:pStyle w:val="Heading2"/>
      </w:pPr>
      <w:r>
        <w:t>Erwägungen</w:t>
      </w:r>
    </w:p>
    <w:p>
      <w:r>
        <w:rPr>
          <w:b/>
        </w:rPr>
        <w:t>E. 1</w:t>
      </w:r>
    </w:p>
    <w:p>
      <w:r>
        <w:t>Selon le recourant, la voie du recours en matière civile serait ouverte nonobstant une valeur litigieuse inférieure à 30'000 fr., au motif que la contestation soulèverait une question juridique de principe (cf. art. 74 al. 1 let. b et al. 2 let. a LTF). Il allègue que le Tribunal fédéral serait pour la première fois appelé à interpréter l'art. 6 al. 3 de la loi fédérale du 2 avril 1908 sur le contrat d'assurance (LCA; RS 221.229.1) tel que modifié par une loi fédérale du 17 décembre 2004 entrée en vigueur le 1er janvier 2006 (RO 2005 5250), que les instances judiciaires inférieures seraient souvent appelées à appliquer à l'avenir. Selon cette disposition, si le contrat d'assurance est résilié pour cause de réticence, l'obligation de l'assureur d'accorder sa prestation pour les sinistres déjà survenus s'éteint uniquement lorsque le fait qui a été l'objet de la réticence a influé sur la survenance ou l'étendue du sinistre.</w:t>
      </w:r>
    </w:p>
    <w:p>
      <w:r>
        <w:t>La jurisprudence a souligné qu'il fallait se montrer restrictif dans l'admission d'une dérogation à l'exigence de la valeur litigieuse. Cela découle en particulier du fait que le législateur, lors des débats parlementaires, a introduit un recours constitutionnel subsidiaire pour les cas où le recours ordinaire contre une décision cantonale n'était pas ouvert, raison pour laquelle les exemples de dérogations donnés dans le Message du 28 février 2001 concernant la révision totale de l'organisation judiciaire fédérale (FF 2001 4108), rédigé antérieurement, ne sont pas déterminants. En résumé, il doit être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Cela a été admis dans des cas où il existait des jurisprudences ou avis de doctrine divergents, ainsi que dans des situations où il était peu probable que la question litigieuse puisse un jour être présentée avec une valeur litigieuse suffisante pour ouvrir la voie du recours en matière civile (cf. ATF 135 III 397 consid. 1.2; 134 III 115 consid. 1.2, 267 consid. 1.2.3, 354 consid. 1.3; 133 III 493 consid. 1.1). Il incombe au recourant qui se prévaut de l'exception prévue par l' art. 74 al. 2 let. a LTF de démontrer en quoi la contestation soulèverait une question juridique de principe (cf. art. 42 al. 2 2 ème phrase LTF).</w:t>
      </w:r>
    </w:p>
    <w:p>
      <w:r>
        <w:t>A ce jour, le Tribunal fédéral ne s'est certes pas prononcé au sujet de l' art. 6 al. 3 LCA . Cela ne suffit toutefois pas, car toute question juridique, même importante, n'est pas nécessairement une question juridique de principe du simple fait qu'elle ne lui a pas encore été soumise. Le recourant ne donne pas d'autres motifs. Il n'allègue pas des pratiques cantonales divergentes ou des controverses doctrinales. En outre, il ne démontre pas qu'il y aurait urgence à clarifier des questions en relation avec la nouvelle règle. Enfin, il est manifeste que les litiges au sujet de prestations d'assurances ensuite de sinistre sont sans autre susceptibles d'atteindre la valeur litigieuse minimale de 30'000 fr. Dans ces circonstances, l'on ne saurait admettre que le recours porte sur une question juridique de principe; il s'ensuit l'irrecevabilité du recours en matière civile.</w:t>
      </w:r>
    </w:p>
    <w:p>
      <w:r>
        <w:rPr>
          <w:b/>
        </w:rPr>
        <w:t>E. 2</w:t>
      </w:r>
    </w:p>
    <w:p>
      <w:r>
        <w:t>Dans son recours constitutionnel subsidiaire, le recourant se plaint d'une violation de l'interdiction de l'arbitraire dans l'application de l' art. 6 al. 3 LCA . En bref, il plaide qu'il était insoutenable d'admettre l'existence d'un lien de causalité entre sa réticence et le dommage causé par un tiers à sa voiture assurée auprès de l'intimée.</w:t>
      </w:r>
    </w:p>
    <w:p>
      <w:r>
        <w:rPr>
          <w:b/>
        </w:rPr>
        <w:t>E. 2.1</w:t>
      </w:r>
    </w:p>
    <w:p>
      <w:r>
        <w:t>Celui qui veut s'assurer doit déclarer par écrit à l'assureur, suivant un questionnaire ou en réponse à toutes autres questions écrites, tous les faits qui sont importants pour l'appréciation du risque ( art. 4 al. 1 LCA ). Sont importants tous les faits de nature à influer sur la détermination de l'assureur de conclure le contrat ou de le conclure aux conditions convenues ( art. 4 al. 2 LCA ).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w:t>
      </w:r>
    </w:p>
    <w:p>
      <w:r>
        <w:t>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 art. 23 ss CO ) ne s'appliquent pas (cf. ATF 118 II 333 consid. 3d in fine; 61 II 281 consid. 1).</w:t>
      </w:r>
    </w:p>
    <w:p>
      <w:r>
        <w:t>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w:t>
      </w:r>
    </w:p>
    <w:p>
      <w:r>
        <w:rPr>
          <w:b/>
        </w:rPr>
        <w:t>E. 2.2</w:t>
      </w:r>
    </w:p>
    <w:p>
      <w:r>
        <w:t>La proposition du Conseil fédéral a suscité des avis divergents lors des débats devant les Chambres. Les discussions ont notamment porté sur les conséquences de fausses déclarations au sujet de faits importants pour apprécier le risque.</w:t>
      </w:r>
    </w:p>
    <w:p>
      <w:r>
        <w:t>En première lecture, la majorité du Conseil des Etats s'est ralliée à la proposition de sa commission et a complété le texte du Conseil fédéral dans le sens que l'obligation de l'assureur d'accorder sa prestation s'éteignait aussi pour les sinistres "qui sont considérés comme étant la réalisation d'un risque que l'assureur n'a pas pu apprécier avec fiabilité en raison d'un manquement à l'obligation de déclarer". Le but était de codifier la pratique du Tribunal fédéral concernant la récidive relative à des faits importants pour l'appréciation du risque (cf. BO 2003 CE 1236 ss). La majorité du Conseil national a par contre opté pour la version du Conseil fédéral, estimant que le Conseil des Etats allait trop loin (cf. BO 2004 CN 405 ss).</w:t>
      </w:r>
    </w:p>
    <w:p>
      <w:r>
        <w:t>Lors de la deuxième lecture, la commission du Conseil des Etats a proposé d'adhérer à la décision du Conseil national et, partant, au texte du Conseil fédéral, en précisant toutefois qu'en matière de faits permettant d'apprécier le risque, elle estimait que ce texte permettait d'en rester à la pratique et à la jurisprudence rendue sous le régime de l'art. 6 aLCA sur la réticence. Le représentant du Conseil fédéral s'est exprimé dans le même sens, partant de l'idée que la jurisprudence continuerait à l'avenir de tenir compte de manière appropriée des faits aggravant le risque assuré. Le Conseil des Etats a alors voté le texte du Conseil fédéral (cf. BO 2004 CE 336 s.). A la suite de cela, le Conseil national a également adopté le texte proposé par le Conseil fédéral sans autre discussion (BO 2004 CN 1294).</w:t>
      </w:r>
    </w:p>
    <w:p>
      <w:r>
        <w:rPr>
          <w:b/>
        </w:rPr>
        <w:t>E. 2.3</w:t>
      </w:r>
    </w:p>
    <w:p>
      <w:r>
        <w:t>Une partie de la doctrine plaide dès lors pour une notion de la causalité large. Elle relève en outre qu'une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w:t>
      </w:r>
    </w:p>
    <w:p>
      <w:r>
        <w:rPr>
          <w:b/>
        </w:rPr>
        <w:t>E. 2.4</w:t>
      </w:r>
    </w:p>
    <w:p>
      <w:r>
        <w:t>La réponse à la question de savoir si l'assureur peut refuser ses prestations en cas de réticence au sujet de faits importants pour apprécier le risque assuré n'est ainsi pas évidente. Au vu des opinions émises lors des débats devant le Conseil des Etats et dans la doctrine, il n'est pas arbitraire d'admettre qu'un refus est légalement possible.</w:t>
      </w:r>
    </w:p>
    <w:p>
      <w:r>
        <w:t>Si l'on retient une notion de la causalité large pour refuser les prestations en cas de sinistre, le fait important pour apprécier le risque qui n'a pas été déclaré doit néanmoins se rapporter au risque qui s'est réalisé. L'assureur ne saurait, en vertu de l' art. 6 al. 3 LCA , refuser d'indemniser l'assuré dont le véhicule parqué a été endommagé parce que cet assuré, par exemple, lui a tu avoir été condamné pour conduite en état d'ébriété ou vitesse excessive. De telles condamnations permettent de conclure à un risque aggravé que l'assuré cause fautivement un accident lors de la conduite du véhicule, mais non pas à un risque aggravé qu'il soit la victime d'un acte de vandalisme de la part d'un tiers sur le véhicule en stationnement.</w:t>
      </w:r>
    </w:p>
    <w:p>
      <w:r>
        <w:t>En l'espèce, il a été constaté en fait que le recourant avait, par le passé, déjà obtenu des prestations d'assurances suite à des actes de vol et de vandalisme sur un véhicule lui appartenant. Il n'y a pas arbitraire à admettre qu'il s'agit là de faits qui étaient susceptibles d'influer sur la détermination de l'assureur de conclure le contrat ou de le conclure aux conditions convenues s'il en avait eu connaissance. Cela scelle le sort du grief et, partant, du recours constitutionnel subsidiaire, qui doit être rejeté.</w:t>
      </w:r>
    </w:p>
    <w:p>
      <w:r>
        <w:rPr>
          <w:b/>
        </w:rPr>
        <w:t>E. 3</w:t>
      </w:r>
    </w:p>
    <w:p>
      <w:r>
        <w:t>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