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4A_302/2024 vom 13. September 2024</w:t>
      </w:r>
    </w:p>
    <w:p>
      <w:r>
        <w:t>Bundesgericht, 2024-09-13, DE</w:t>
      </w:r>
    </w:p>
    <w:p>
      <w:r>
        <w:rPr>
          <w:b/>
        </w:rPr>
        <w:t xml:space="preserve">Quelle: </w:t>
      </w:r>
      <w:r>
        <w:t>https://mcp.opencaselaw.ch/entscheid/bger_4A_302_2024</w:t>
      </w:r>
    </w:p>
    <w:p>
      <w:r>
        <w:t>FR: TF 4A_302/2024 du 13 septembre 2024</w:t>
      </w:r>
    </w:p>
    <w:p>
      <w:r>
        <w:t>IT: TF 4A_302/2024 del 13 settembre 2024</w:t>
      </w:r>
    </w:p>
    <w:p>
      <w:pPr>
        <w:pStyle w:val="Heading2"/>
      </w:pPr>
      <w:r>
        <w:t>Erwägungen</w:t>
      </w:r>
    </w:p>
    <w:p>
      <w:r>
        <w:rPr>
          <w:b/>
        </w:rPr>
        <w:t>E. 1</w:t>
      </w:r>
    </w:p>
    <w:p>
      <w:r>
        <w:t>Die allgemeinen Sachurteilsvoraussetzungen sind erfüllt und geben zu keinen Bemerkungen Anlass. Wie zu zeigen sein wird, verfehlt die Beschwerdeführerin allerdings durchwegs die Begründungsanforderungen an eine Beschwerde in Zivilsachen.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 in ihrer Replik darüber hinausgeht, kann sie nicht gehört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ging im angefochtenen, 59-seitigen Entscheid im Einzelnen und detailliert auf die zahlreichen Vorbringen der Beschwerdeführerin ein und widerlegte sie alle. Sie kam zusammengefasst zum Ergebnis, die Beschwerdegegnerin sei weder aufgrund der Verletzung einer Warnpflicht aus dem Kontoführungs- und Depotvertrag noch einer Überschreitung der Verwaltungsvollmacht noch aufgrund einer Verletzung von Sorgfaltspflichten aus dem Treuhandvertrag noch aufgrund einer Verletzung der Prospektpflicht noch aufgrund von Geldwäscherei ihrer leitenden Mitarbeiter haftbar. Ausführungen zum Schaden, zur Kausalität und zum Verschulden erübrigten sich. Entsprechend fehle es auch an einer Grundlage für die mit Fr. 1.-- geltend gemachten vorprozessualen Sachverhalts- und Rechtsverfolgungskosten. Die Klage sei abzuweisen.</w:t>
      </w:r>
    </w:p>
    <w:p>
      <w:r>
        <w:rPr>
          <w:b/>
        </w:rPr>
        <w:t>E. 3.1</w:t>
      </w:r>
    </w:p>
    <w:p>
      <w:r>
        <w:t>Dagegen schildert die anwaltlich vertretene Beschwerdeführerin vor Bundesgericht vorab den Sachverhalt und das vorinstanzliche Verfahren aus ihrer eigenen Sicht. Sie ergänzt auch im Weiteren den von der Vorinstanz festgestellten Sachverhalt und weicht immer wieder von ihm ab. Bei keinem ihrer tatsächlichen Vorbringen erhebt sie jedoch eine hinreichend begründete Sachverhaltsrüge, die den oben genannten Begründungsanforderungen genügen würde (Erwägung 2.2). Stattdessen räumt sie vielmehr an mehreren Stellen ihrer Beschwerdeschrift selbst ein, dass ihre neuen tatsächlichen Vorbringen vor Bundesgericht unzulässig sind. Auf diese tatsächlichen Elemente kann sie sich vor Bundesgericht von vornherein nicht stützen.</w:t>
      </w:r>
    </w:p>
    <w:p>
      <w:r>
        <w:rPr>
          <w:b/>
        </w:rPr>
        <w:t>E. 3.2</w:t>
      </w:r>
    </w:p>
    <w:p>
      <w:r>
        <w:t>Auch in rechtlicher Hinsicht verfehlt die Beschwerdeführerin die Begründungsanforderungen an eine Beschwerde an das Bundesgericht durchwegs. Sie behauptet zwar, dass das Urteil der Vorinstanz "drei wesentliche juristische Mängel" aufweise. Sie unterlässt es aber in der Folge, diese behaupteten juristischen Mängel nachvollziehbar darzulegen. Sie schildert in ihrer weitschweifigen Beschwerdeschrift vielmehr ihre Ansicht der Rechtslage, übt allgemeine Kritik am Entscheid und bezeichnet einzelne Erwägungen der Vorinstanz als "irreführend", "blauäugig" oder als "juristischer Unsinn". Sie setzt sich in ihrer Eingabe aber nicht hinreichend mit dem ausführlichen und sorgfältig begründeten Entscheid der Vorinstanz auseinander, geschweige denn zeigt sie rechtsgenüglich auf, inwiefern der Vorinstanz eine Bundesrechtsverletzung vorzuwerfen wäre. Eine solche appellatorische Kritik genügt den Begründungsanforderungen vor Bundesgericht nicht (Erwägung 2.1).</w:t>
      </w:r>
    </w:p>
    <w:p>
      <w:r>
        <w:rPr>
          <w:b/>
        </w:rPr>
        <w:t>E. 4</w:t>
      </w:r>
    </w:p>
    <w:p>
      <w:r>
        <w:t>Die Kosten- und Entschädigungsfolgen des kantonalen Verfahrens werden nicht unabhängig vom Ausgang des Verfahrens angefochten. Nachdem die Beschwerde erfolglos ist, bleibt es auch ohne weiteres beim Kosten- und Entschädigungsentscheid der Vorinstanz.</w:t>
      </w:r>
    </w:p>
    <w:p>
      <w:r>
        <w:rPr>
          <w:b/>
        </w:rPr>
        <w:t>E. 5</w:t>
      </w:r>
    </w:p>
    <w:p>
      <w:r>
        <w:t>Auf die Beschwerde ist nach dem Gesagten nicht einzutreten.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