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302/2008 vom 20. November 2008</w:t>
      </w:r>
    </w:p>
    <w:p>
      <w:r>
        <w:t>Bundesgericht, 2008-11-20, FR</w:t>
      </w:r>
    </w:p>
    <w:p>
      <w:r>
        <w:rPr>
          <w:b/>
        </w:rPr>
        <w:t xml:space="preserve">Quelle: </w:t>
      </w:r>
      <w:r>
        <w:t>https://mcp.opencaselaw.ch/entscheid/bger_4A_302_2008</w:t>
      </w:r>
    </w:p>
    <w:p>
      <w:r>
        <w:t>FR: TF 4A 302/2008 du 20 novembre 2008</w:t>
      </w:r>
    </w:p>
    <w:p>
      <w:r>
        <w:t>IT: TF 4A 302/2008 del 20 novembre 2008</w:t>
      </w:r>
    </w:p>
    <w:p>
      <w:pPr>
        <w:pStyle w:val="Heading2"/>
      </w:pPr>
      <w:r>
        <w:t>Regeste</w:t>
      </w:r>
    </w:p>
    <w:p>
      <w:r>
        <w:t>interprétation d'un contrat | Droit des contrats</w:t>
      </w:r>
    </w:p>
    <w:p>
      <w:pPr>
        <w:pStyle w:val="Heading2"/>
      </w:pPr>
      <w:r>
        <w:t>Erwägungen</w:t>
      </w:r>
    </w:p>
    <w:p>
      <w:r>
        <w:rPr>
          <w:b/>
        </w:rPr>
        <w:t>E. 1</w:t>
      </w:r>
    </w:p>
    <w:p>
      <w:r>
        <w:t>Le Tribunal fédéral examine d'office et librement la recevabilité des recours qui lui sont soumis ( ATF 134 III 235 consid. 1 p. 236, 379 consid. 1 p. 381; 134 V 138 consid. 1 p. 140).</w:t>
      </w:r>
    </w:p>
    <w:p>
      <w:r>
        <w:rPr>
          <w:b/>
        </w:rPr>
        <w:t>E. 1.1</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ces griefs, les exigences en matière de motivation correspondent à celles plus élevées de l'ancien recours de droit public; le recourant doit discuter les considérants de la décision attaquée et exposer de manière claire et circonstanciée en quoi consiste la violation du droit constitutionnel ( ATF 134 II 244 consid. 2.1 et 2.2; 133 III 393 consid. 6, 545 consid. 2.2). En l'espèce, le recourant ne soulève aucun grief d'ordre constitutionnel qui satisfasse aux exigences formelles posées par la loi. Pour le reste, le Tribunal fédéral applique le droit d'office ( art. 106 al. 1 LTF ),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Cependant,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1.2</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28 février 2001 concernant la révision totale de l'organisation judiciaire fédérale, FF 2001 4135 ch. 4.1.4.2;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133 III 462 consid. 2.4; 133 II 249 consid. 1.4.3). Aucun fait nouveau ni preuve nouvelle ne peut être présenté à moins de résulter de la décision de l'autorité précédente ( art. 99 al. 1 LTF ). La possibilité de rectifier ou de compléter l'état de fait ne fait pas du Tribunal fédéral une cour d'appel. Il reste une instance de révision du droit à qui le législateur, pour des motifs d'économie de procédure, a donné la faculté de corriger, à titre exceptionnel, l'état de fait lorsque cela peut se faire de manière simple (cf. Message précité, FF 2001 4141 ch. 4.1.4.5). Dans son mémoire, le recourant s'écarte partiellement de l'état de fait retenu par l'autorité cantonale ou le complète en faisant référence à des pièces figurant au dossier, comme si le Tribunal fédéral était une cour d'appel qui revoit librement les faits. Conformément aux principes rappelés ci-dessus, il ne sera pas tenu compte de l'état de fait divergent présenté dans le recours, irrecevable dans cette mesure.</w:t>
      </w:r>
    </w:p>
    <w:p>
      <w:r>
        <w:rPr>
          <w:b/>
        </w:rPr>
        <w:t>E. 2</w:t>
      </w:r>
    </w:p>
    <w:p>
      <w:r>
        <w:t>Le rejet de l'action contre A.________ et l'admission de l'action contre B.________ et C.________ sont définitifs. La présente procédure ne divise plus que le recourant et l'intimée. Contrairement à ce que cette dernière suggère, la condamnation de B.________ et de C.________, en tant que débiteurs solidaires du montant de 5'900'000 USD, ne fait pas obstacle à un éventuel rejet de l'action contre le recourant, recherché comme débiteur solidaire de la même obligation. En effet, dans une consorité simple, les actes procéduraux des uns restent sans influence sur la situation juridique des autres. Que B.________ et C.________ n'aient pas valablement attaqué leur condamnation est donc sans incidence pour le recourant; cela ne fait obstacle ni à un recours de sa part, ni à ce que l'action de l'intimée puisse, le cas échéant, être rejetée dans la mesure où elle est dirigée contre lui.</w:t>
      </w:r>
    </w:p>
    <w:p>
      <w:r>
        <w:rPr>
          <w:b/>
        </w:rPr>
        <w:t>E. 3</w:t>
      </w:r>
    </w:p>
    <w:p>
      <w:r>
        <w:t>L'intimée a fondé son action en premier lieu sur la responsabilité délictuelle de ses partenaires contractuels, soutenant avoir été sciemment et astucieusement trompée, lors de l'octroi du prêt, sur la valeur du billet à ordre émis par B.________ et, partant, sur la valeur des actions T.________ offertes en garantie. Invoquant les art. 28 et 41 CO , elle demandait réparation du dommage ainsi subi, soit le remboursement du montant de 5'900'000 USD versés à B.________ et C.________.</w:t>
      </w:r>
    </w:p>
    <w:p>
      <w:r>
        <w:rPr>
          <w:b/>
        </w:rPr>
        <w:t>E. 3.1</w:t>
      </w:r>
    </w:p>
    <w:p>
      <w:r>
        <w:t>Le Tribunal de première instance a exclu toute responsabilité délictuelle dans le cas présent et déclaré mal fondées les conclusions basées sur l' art. 41 CO . Dans son appel incident, l'intimée critiquait le jugement sur ce point et soutenait que ses conclusions déduites de la responsabilité aquilienne étaient fondées. Pour sa part, la Cour de justice a confirmé la condamnation du recourant à payer 5'900'000 USD en exécution du contrat conclu entre les parties, admettant une obligation contractuelle de rembourser le prêt; elle a toutefois retenu une tromperie au sens de l' art. 28 CO lors de l'octroi du prêt et s'est fondée sur l' art. 41 CO pour allouer, dès le jour du versement de l'argent, un intérêt fixé à 18% sur la somme à rembourser. Dans la présente procédure, le recourant conteste avoir commis un acte illicite et l'intimée évoque également la responsabilité délictuelle pour fonder son action.</w:t>
      </w:r>
    </w:p>
    <w:p>
      <w:r>
        <w:rPr>
          <w:b/>
        </w:rPr>
        <w:t>E. 3.2</w:t>
      </w:r>
    </w:p>
    <w:p>
      <w:r>
        <w:t>La partie induite à contracter par le dol de l'autre n'est pas obligée, même si son erreur n'est pas essentielle ( art. 28 al. 1 CO ). Le contrat entaché de dol est tenu pour ratifié lorsque la partie qu'il n'oblige pas a laissé s'écouler une année sans déclarer à l'autre sa résolution de ne pas le maintenir, ou sans répéter ce qu'elle a payé; le délai court dès que le dol a été découvert ( art. 31 al. 1 et 2 CO ). La partie non obligée supporte le fardeau de la preuve ( art. 8 CC ; Max Kummer, Berner Kommentar, 1962, n° 293 ad art. 8 CC ). Le prêteur trompé qui demande le remboursement du prêt conformément aux conditions contractuelles n'invalide pas le contrat, mais, au contraire, le ratifie ( ATF 61 II 228 consid. 3 p. 234 /235).</w:t>
      </w:r>
    </w:p>
    <w:p>
      <w:r>
        <w:rPr>
          <w:b/>
        </w:rPr>
        <w:t>E. 3.3</w:t>
      </w:r>
    </w:p>
    <w:p>
      <w:r>
        <w:t>En l'espèce, la Cour de justice n'a pas constaté que l'intimée aurait déclaré à ses cocontractants ne pas vouloir maintenir le contrat; au contraire, elle fonde son arrêt sur la validité du contrat. Bien qu'elle supportât le fardeau de la preuve, l'intimée n'a pas allégué avoir fait une telle déclaration. En revanche, elle admet avoir eu des doutes sur la validité du billet à ordre le 6 mai 1993, soit environ trois semaines après la conclusion du contrat et le versement de l'argent. Cependant, en juin 1997, soit quatre ans plus tard, elle réclamait encore le paiement du montant de 9'500'000 USD en exécution du contrat. Dans ces circonstances, rien ne permet de retenir que le contrat des 14 et 16 avril 1993 aurait été invalidé pour vice de consentement; l'intimée ne peut rien déduire de l' art. 28 CO . La cause porte uniquement sur l'exécution de la convention des 14/16 avril 1993.</w:t>
      </w:r>
    </w:p>
    <w:p>
      <w:r>
        <w:rPr>
          <w:b/>
        </w:rPr>
        <w:t>E. 4</w:t>
      </w:r>
    </w:p>
    <w:p>
      <w:r>
        <w:t>Selon les termes du contrat du 14 avril 1993 et de son addendum du 16 avril 1993, l'intimée achète des actions T.________ pour le prix de 6'000'000 USD et obtient en plus le droit, illimité dans le temps, d'exiger des vendeurs, après l'écoulement d'un délai de 90 jours depuis la conclusion du contrat, qu'ils lui rachètent ces actions au prix de 9'500'000 USD; de leur côté, les vendeurs disposent, pendant une durée déterminée, d'un droit de rachat des actions à un prix fixé à l'avance, soit 7'000'000 USD si l'option est exercée dans les 45 jours après la conclusion du contrat et 9'500'000 USD si elle l'est entre le 45ème (sic) et le 90ème jour. Interprétant l'accord des parties, la Cour de justice a exclu que celles-ci aient passé un contrat de vente; malgré les termes utilisés dans le contrat du 14 avril 1993, elle a qualifié la convention de prêt, garanti par le transfert d'actions à titre fiduciaire. Selon l'arrêt attaqué, l'intimée a accordé aux princes saoudiens un prêt avec intérêts, la construction juridique choisie, soit une vente avec un pacte de réméré à un prix déterminé, permettant d'éluder l'interdiction du droit musulman de contracter des emprunts avec intérêts. L'addendum du 16 avril 1993, qui confère à l'intimée la faculté, au-delà du délai de 90 jours, de requérir le rachat des actions à un prix fixe sans limite dans le temps, consacre le droit de la prêteuse au remboursement des fonds à première réquisition, conformément aux art. 312 et 318 CO relatifs au prêt de consommation. Et en se reconnaissant, dans l'acte du 16 avril 1993, débiteur solidaire de l'obligation de rembourser les fonds, le recourant a pris un engagement propre que la cour cantonale qualifie de reprise cumulative de dette.</w:t>
      </w:r>
    </w:p>
    <w:p>
      <w:r>
        <w:rPr>
          <w:b/>
        </w:rPr>
        <w:t>E. 4.1</w:t>
      </w:r>
    </w:p>
    <w:p>
      <w:r>
        <w:t>Le recourant s'en prend au résultat de l'interprétation à laquelle la Chambre civile s'est livrée. A son avis, il n'existe en l'espèce aucun motif justifiant de s'écarter du sens littéral du contrat de vente du 14 avril 1993 auquel l'addendum du 16 avril 1993 n'a apporté aucun changement fondamental. Une interprétation stricte s'imposerait d'autant plus dans le cas particulier que les parties au contrat sont des personnes versées dans les affaires et rompues à l'usage de notions juridiques.</w:t>
      </w:r>
    </w:p>
    <w:p>
      <w:r>
        <w:rPr>
          <w:b/>
        </w:rPr>
        <w:t>E. 4.2</w:t>
      </w:r>
    </w:p>
    <w:p>
      <w:r>
        <w:t>Lorsqu'il est amené à qualifier ou interpréter un contrat, le juge doit s'efforcer tout d'abord de déterminer la commune et réelle intention des parties, sans s'arrêter aux expressions ou dénominations inexactes dont elles ont pu se servir, soit par erreur, soit pour déguiser la nature véritable de la convention ( art. 18 al. 1 CO ); s'il y parvient au terme d'une interprétation dite subjective, il s'agit d'une constatation de fait qui lie en principe le Tribunal fédéral, conformément à l' art. 105 LTF . Si la volonté réelle des parties ne peut pas être établie ou si leurs volontés intimes divergent, le juge doit interpréter les déclarations et les comportements selon la théorie de la confiance: Il doit alors rechercher comment une déclaration ou une attitude pouvait être comprise de bonne foi en fonction de l'ensemble des circonstances (interprétation dite objective).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Pour trancher cette question, il faut toutefois se fonder sur le contenu de la manifestation de volonté et sur les circonstances, dont la constatation relève du fait ( ATF 133 III 675 consid. 3.3 p. 681/682 et les arrêts cités). Les circonstances pertinentes à cet égard sont celles qui ont précédé ou accompagné la manifestation de volonté, à l'exclusion des événements postérieurs à la conclusion du contrat ( ATF 133 III 61 consid. 2.2.1 p. 67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toutefois pas lieu de s'écarter du sens littéral du texte adopté par les cocontractants lorsqu'il n'existe aucune raison sérieuse de penser qu'il ne correspond pas à leur volonté ( ATF 133 III 61 consid. 2.2.1 p. 67 et les arrêts cités).</w:t>
      </w:r>
    </w:p>
    <w:p>
      <w:r>
        <w:rPr>
          <w:b/>
        </w:rPr>
        <w:t>E. 4.3</w:t>
      </w:r>
    </w:p>
    <w:p>
      <w:r>
        <w:t>En l'espèce, la cour cantonale n'a pas établi en fait une volonté réelle commune des parties, fondée sur des indices concrets ou des éléments postérieurs à la conclusion du contrat des 14/16 avril 1993. Elle a analysé les clauses contractuelles liant les parties et recherché comment elles devaient être comprises en fonction des circonstances qui ont entouré leur adoption, en particulier du but poursuivi économiquement. Ce faisant, les juges genevois ont procédé à une interprétation objective du contrat, fondée sur le principe de la confiance, comme ils l'indiquent du reste expressément au considérant 3.2 de l'arrêt attaqué. Il s'ensuit que la cour de céans peut revoir librement le résultat de cette interprétation.</w:t>
      </w:r>
    </w:p>
    <w:p>
      <w:r>
        <w:rPr>
          <w:b/>
        </w:rPr>
        <w:t>E. 4.4</w:t>
      </w:r>
    </w:p>
    <w:p>
      <w:r>
        <w:t>Les parties ont choisi de conclure une vente, combinée avec un droit de réméré de durée limitée et une option de revente illimitée dans le temps. Le fait que le même résultat économique aurait pu être atteint plus simplement par la conclusion d'un contrat nommé - le prêt de consommation avec intérêts - ne soumet pas pour autant la construction juridique adoptée aux art. 312 et suivants CO. Il s'agit bien plutôt de partir du contenu de l'accord défini par les parties en vertu de leur liberté contractuelle et de rechercher, par interprétation, les droits et obligations découlant du contrat. A cet égard, le contrat est clair: le recourant et les princes saoudiens remettent à l'intimée des actions représentant 50% du capital social de T.________ contre paiement d'un prix de vente de 6'000'000 USD (art. 1 et 2); pendant les 90 jours suivant la conclusion du contrat, les vendeurs disposent d'un droit de réméré, le prix de rachat des actions étant alors fixé à 7'000'000 USD pendant 45 jours et à 9'500'000 USD au-delà (art. 6); durant ce délai, l'acheteuse s'engage à ne pas disposer des actions (art. 7); en revanche, après l'échéance du délai de 90 jours, elle acquiert la pleine propriété des actions si les vendeurs n'ont pas exercé leur droit de réméré (art. 9 et escrow agreement). Le mécanisme instauré correspond bien aux termes choisis par les parties: la remise et le transfert de la propriété d'une chose moyennant le paiement d'un prix est une vente (cf. art. 184 al. 1 CO ). Une fois le délai de 90 jours écoulé sans avoir été utilisé, l'acheteuse dispose du droit, illimité dans le temps, de revendre les actions aux vendeurs pour le prix de 9'500'000 USD; pour elle, l'option est la suivante: conserver les actions ou les restituer aux vendeurs contre le paiement d'un prix fixé à l'avance. Les droits et obligations contractuels sont précisément déterminés: les vendeurs ont la possibilité, pendant 90 jours, de racheter les actions moyennant le paiement de 7'000'000 USD, respectivement 9'500'000 USD; s'ils ne font pas usage de cette faculté, l'acheteuse a alors le droit, pendant une période illimitée, de leur revendre les actions au prix invariable de 9'500'000 USD, mais elle peut aussi choisir de conserver les actions. Les parties ont ainsi atteint un équilibre contractuel qui ne se réduit pas à un prêt avec intérêts. La qualification dans ce sens effectuée par la cour cantonale ne peut être confirmée. En conclusion, il convient de s'en tenir aux termes mêmes utilisés dans l'accord des 14 et 16 avril 1993, dont rien ne permet de penser sérieusement qu'ils ne correspondent pas à la volonté des parties.</w:t>
      </w:r>
    </w:p>
    <w:p>
      <w:r>
        <w:rPr>
          <w:b/>
        </w:rPr>
        <w:t>E. 4.5</w:t>
      </w:r>
    </w:p>
    <w:p>
      <w:r>
        <w:t>Comme on l'a vu plus haut, l'intimée se trouvait, depuis la mi-juillet 1993, devant l'option consistant soit à conserver les actions, soit à les revendre aux vendeurs pour le prix de 9'500'000 USD. Ce dernier choix supposait toutefois que l'acheteuse puisse disposer des actions en tout temps et ait la possibilité de les retransférer aux vendeurs simultanément (Zug um Zug) au paiement du prix de revente convenu (cf. ATF 129 III 535 consid. 3.2.1 p. 541). Or, il ressort de l'état de fait cantonal que, depuis fin août 1993, l'intimée n'était plus titulaire des actions faisant l'objet des certificats nos 16, 17 et 20, lesquels avaient été transférés à R.________. Cela signifie que, lorsqu'elle a exercé son droit d'option à quatre reprises entre le 29 mai 1996 et le 27 juin 1997, l'intimée n'était pas en mesure de disposer des actions. Par conséquent, elle ne pouvait alors exiger le paiement du montant de 9'500'000 USD de la part du recourant, qui n'avait pas à s'exécuter. De plus, lorsque l'acheteuse a ouvert action en juillet 1999, les actions étaient, en tout état de cause, frappées d'incessibilité pour dix ans au moins à la suite d'une décision judiciaire du 30 juin 1997. La restitution des actions se révélait dès lors impossible pour une longue durée, à l'échéance imprévisible. Sur le vu de ce qui précède, l'intimée ne dispose contre le recourant d'aucune prétention fondée sur le contrat des 14/16 avril 1993, contrairement à ce que la cour cantonale a reconnu. Par conséquent, le recours doit être admis dans la mesure où il est recevable et l'action de l'intimée contre le recourant sera rejetée. Ce résultat dispense la cour de céans d'examiner les autres griefs soulevés dans le recours.</w:t>
      </w:r>
    </w:p>
    <w:p>
      <w:r>
        <w:rPr>
          <w:b/>
        </w:rPr>
        <w:t>E. 5</w:t>
      </w:r>
    </w:p>
    <w:p>
      <w:r>
        <w:t>Comme le recourant obtient gain de cause, l'intimée prendra à sa charge les frais de la procédure ( art. 66 LTF ) et les dépens de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