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301/2018 vom 19. November 2018</w:t>
      </w:r>
    </w:p>
    <w:p>
      <w:r>
        <w:t>Bundesgericht, 2018-11-19, DE</w:t>
      </w:r>
    </w:p>
    <w:p>
      <w:r>
        <w:rPr>
          <w:b/>
        </w:rPr>
        <w:t xml:space="preserve">Quelle: </w:t>
      </w:r>
      <w:r>
        <w:t>https://mcp.opencaselaw.ch/entscheid/bger_4A_301_2018</w:t>
      </w:r>
    </w:p>
    <w:p>
      <w:r>
        <w:t>FR: TF 4A 301/2018 du 19 novembre 2018</w:t>
      </w:r>
    </w:p>
    <w:p>
      <w:r>
        <w:t>IT: TF 4A 301/2018 del 19 novembre 2018</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jener des angefochtenen Entscheids. Wurde dieser in einer anderen Sprache redigiert, bedient sich das Bundesgericht der von den Parteien verwendeten Amtssprache. Der angefochtene Entscheid ist in englischer Sprache abgefasst. Da es sich dabei nicht um eine Amtssprache handelt, ergeht der Entscheid des Bundesgerichts praxisgemäss in der Sprache der Beschwerde (siehe BGE 142 III 521 E. 1).</w:t>
      </w:r>
    </w:p>
    <w:p>
      <w:r>
        <w:rPr>
          <w:b/>
        </w:rPr>
        <w:t>E. 2</w:t>
      </w:r>
    </w:p>
    <w:p>
      <w:r>
        <w:t>Der Sitz des Schiedsgerichts, dessen Entscheid beim Bundesgericht angefochten ist, befindet sich in Zürich. Beide Parteien hatten beim Abschluss der Schiedsvereinbarung ihren Sitz ausserhalb der Schweiz. Da sie die Geltung des 12. Kapitels des IPRG nicht ausdrücklich ausgeschlossen haben, gelangen dessen Bestimmungen zur Anwendung (siehe Art. 176 Abs. 1 und 2 IPRG ). Die Beschwerde in Zivilsachen ist somit unter den Voraussetzungen der Art. 190-192 IPRG zulässig ( Art. 77 Abs. 1 lit. a BGG ).</w:t>
      </w:r>
    </w:p>
    <w:p>
      <w:r>
        <w:rPr>
          <w:b/>
        </w:rPr>
        <w:t>E. 3.1</w:t>
      </w:r>
    </w:p>
    <w:p>
      <w:r>
        <w:t>Der Entscheid kann nur aus einem der in Art. 190 Abs. 2 IPRG abschliessend aufgezählten Gründe angefochten werden.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Die Sachverhaltsfeststellung des Schiedsgerichts kann nicht nach Art. 105 Abs. 2 BGG berichtigt oder ergänzt werden, selbst wenn sie offensichtlich unrichtig ist oder auf einer Rechtsverletzung im Sinne von Art. 95 BGG beruht (siehe Art. 77 Abs. 2 BGG ). In diesem Sinne kann nicht berücksichtigt werden, wenn die Beschwerdeführerin die Prozessgeschichte aus eigener Sicht darstellt und dabei insbesondere ausführt, der Beschwerdegegner habe "den Anspruch der Beschwerdeführerin auf volle Kompensation" grundsätzlich anerkannt, ist dies im angefochtenen Schiedsspruch doch nicht festgestellt.</w:t>
      </w:r>
    </w:p>
    <w:p>
      <w:r>
        <w:rPr>
          <w:b/>
        </w:rPr>
        <w:t>E. 4.1</w:t>
      </w:r>
    </w:p>
    <w:p>
      <w:r>
        <w:t>Die Beschwerdeführerin wirft dem Schiedsgericht vor, es habe durch überraschende Rechtsanwendung ihren Anspruch auf rechtliches Gehör verletzt ( Art. 190 Abs. 2 lit. d IPRG ).</w:t>
      </w:r>
    </w:p>
    <w:p>
      <w:r>
        <w:rPr>
          <w:b/>
        </w:rPr>
        <w:t>E. 4.2</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Bei der Beurteilung, ob die Rechtsanwendung des Schiedsgerichts überraschend ist, auferlegt sich das Bundesgericht auf dem Gebiet der internationalen Schiedsgerichtsbarkeit Zurückhaltung ( BGE 130 III 35 E. 5 S. 38-40 mit Hinweisen; Urteil 4A_525/2017 vom 9. August 2018 E. 3.1 mit einer Zusammenfassung der jüngeren Rechtsprechung).</w:t>
      </w:r>
    </w:p>
    <w:p>
      <w:r>
        <w:rPr>
          <w:b/>
        </w:rPr>
        <w:t>E. 4.3</w:t>
      </w:r>
    </w:p>
    <w:p>
      <w:r>
        <w:t>Das Schiedsgericht bejahte die Schadenersatzpflicht des Beschwerdegegners zufolge Schlechterfüllung des "Consultancy Agreement" im Grundsatz. Es befand, der Beschwerdegegner habe die Beschwerdeführerin nicht adäquat über die Risiken im Zusammenhang mit dem Projekt informiert, mit der Folge, dass die Beschwerdeführerin fehlerhafte Investitionsentscheide gefällt habe (Ausstellung von "Performance Bonds" und Kauf von Gasturbinen). In Ausübung seines Ermessens gemäss Art. 44 OR ("in application of its discretion under Article 44 CO") kürzte es jedoch den widerklageweise geltend gemachten Ersatzanspruch wegen Selbstverschuldens der Beschwerdeführerin ("due to Respondent's own fault") um die Hälfte. Zur Begründung führte es in Randziffer 186 des Schiedsspruchs aus: "In the case at hand there are indeed a number of aspects that need to be taken into consideration when assessing a possible reduction of the compensation owed by Claimant. Frist, W.________ is known as a country with a particular "country risk", i.e. also the hiring of a local consultant with specific knowledge on the potential risks does not exclude the risk completely, and a well-established company with international reputation and particular experience in the region, such as Respondent, can be expected to be aware of this (remaining) risk. Secondly, in connection with the whole process around the First Tender and the transition period to the Second Tender, Respondent must have realized that the process steered by Ministries of the W.________ government was at least partly dysfunctional and, consequently, that the award of the Project did not yet mean that the Client became a reliable contracting partner. Thirdly, in connection with the organization of the required funds for the execution of the Project, Respondent was warned by international banks, which in the end were not willing to participate in the (pre-) financing of the Project. Finally, even though it was Respondent's intention to receive helpful support by Claimant for its own decision process when entering into the Consultancy Agreement, it was ultimately Respondent that was taking the business decisions including the risks involved, and this also applies to the two major investments, for which Claimant's liability was established hereinabove." Die Beschwerdeführerin meint, während des gesamten Schiedsverfahrens sei ein angebliches Selbstverschulden an dem von ihr erlittenen Schaden nie thematisiert worden, weder vom Beschwerdegegner noch vom Schiedsgericht. Angesichts dieser Ausgangslage habe sie weder Grund noch Anlass gehabt, "sich je mit der Frage eines angeblichen eigenen (Mit-) Verschuldens zu befassen".</w:t>
      </w:r>
    </w:p>
    <w:p>
      <w:r>
        <w:rPr>
          <w:b/>
        </w:rPr>
        <w:t>E. 4.4</w:t>
      </w:r>
    </w:p>
    <w:p>
      <w:r>
        <w:t>Der Beschwerdegegner hatte zur Begründung seines Begehrens um Zusprechung der ungekürzten Vergütung unter anderem vorgebracht, gemäss den Vereinbarungen der Parteien habe das Risiko der Nichtverwirklichung des Projekts, auf die er keinen Einfluss gehabt habe, nicht von ihm getragen werden müssen. Seinen Antrag auf Abweisung der Widerklage hatte er dann in erster Linie damit begründet, es liege keine Vertragsverletzung vor. Weiter hatte er jedoch auch die Kausalität bestritten, gemäss der - für das Bundesgericht verbindlichen (Erwägung 3.2) - Zusammenfassung des Schiedsgerichts wie folgt: "Claimant also challenges the premises of Respondent's Counterclaim as concerns causation, since any damage suffered by Respondent had been caused by the fact that W.________ did not implement the Project. Furthermore, Respondent voluntarily incurred in the expenses it now tries to get reimbursed from Claimant, since it strongly wanted to tender for and proceed with the Project. Finally, Respondent has not shown that withouth the alleged breaches, the losses would not have incurred." Wenn das Schiedsgericht zum Schluss gelangte, das Verhalten der Beschwerdeführerin mit Blick auf das Risiko der Nichtverwirklichung des Projekts schliesse die Schadenersatzansprüche zwar nicht vollständig aus, rechtfertige aber deren Reduktion, kann ihr keine überraschende Rechtsanwendung vorgeworfen werden: Ein Selbstverschulden, das den Kausalzusammenhang nicht unterbricht, kann nach der Rechtsprechung zum schweizerischen Haftpflichtrecht durchaus zur blossen Herabsetzung des Schadenersatzanspruchs im Sinne von Art. 44 OR führen (so etwa allgemein BGE 130 III 182 E. 5.5). Angesichts der im Schiedsverfahren vorgetragenen Argumente musste die Beschwerdeführerin damit rechnen, dass das Schiedsgericht zwar die Kausalität zwischen der Vertragsverletzung und der Schädigung bejahen, jedoch die Ersatzpflicht des Beschwerdegegners herabsetzen würde. Unbegründet ist die Kritik ferner auch, wenn die Beschwerdeführerin sie damit begründet, dass das Schiedsgericht bei der Herabsetzung der Schadenersatzpflicht auf Tatsachen abgestellt habe, die vom Beschwerdegegner im Einzelnen nicht prozesskonform behauptet und bewiesen worden seien, oder jedenfalls nicht, "um ein angebliches Mitverschulden der Beschwerdeführerin an den von ihr erlittenen Schäden gelten zu machen": Insofern wendet sich die Beschwerdeführerin gegen die Sachverhaltsfeststellungen des Schiedsgerichts, ohne eine zulässige Rüge (Erwägung 3.1) vorzutragen. Unter dem Gesichtspunkt des rechtlichen Gehörs ist es nicht zu beanstanden, wenn das Schiedsgericht in seinem Entscheid (auch) auf Tatsachen abgestellt hat, die es - ohne formelle Parteibehauptung - als notorisch oder aufgrund des Beweisverfahrens als erwiesen erachtete (siehe Urteil 4A_623/2014 vom 30. April 2015 E. 3.2 mit Hinweisen). Dass es ihr nicht möglich gewesen sein soll, sich zu den fraglichen Tatsachen zu äussern, vermag die Beschwerdeführerin in diesem Zusammenhang nicht aufzuzeigen.</w:t>
      </w:r>
    </w:p>
    <w:p>
      <w:r>
        <w:rPr>
          <w:b/>
        </w:rPr>
        <w:t>E. 5</w:t>
      </w:r>
    </w:p>
    <w:p>
      <w:r>
        <w:t>Die Beschwerde ist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