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4A_301/2012 vom 19. September 2012</w:t>
      </w:r>
    </w:p>
    <w:p>
      <w:r>
        <w:t>Bundesgericht, 2012-09-19, FR</w:t>
      </w:r>
    </w:p>
    <w:p>
      <w:r>
        <w:rPr>
          <w:b/>
        </w:rPr>
        <w:t xml:space="preserve">Quelle: </w:t>
      </w:r>
      <w:r>
        <w:t>https://mcp.opencaselaw.ch/entscheid/bger_4A_301_2012</w:t>
      </w:r>
    </w:p>
    <w:p>
      <w:r>
        <w:t>FR: TF 4A_301/2012 du 19 septembre 2012</w:t>
      </w:r>
    </w:p>
    <w:p>
      <w:r>
        <w:t>IT: TF 4A_301/2012 del 19 settembre 2012</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1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Les contrats comportant la cession de parts sociales d'une société à responsabilité limitée sont soumis à des exigences de forme par l' art. 785 CO ; pour le surplus, la cession de parts sociales en contrepartie d'un prix est en principe une vente mobilière selon l' art. 187 al. 1 CO , car les règles de la vente s'appliquent non seulement à l'aliénation des choses corporelles mais aussi à celle des droits, incorporés ou non dans des papiers-valeurs (Silvio Venturi et Marie-Noëlle Zen-Ruffinen, in Commentaire romand, 2e éd., n° 8 ad art. 184 CO ).</w:t>
      </w:r>
    </w:p>
    <w:p>
      <w:r>
        <w:t>Le 16 mai 2008, les parties n'ont pas seulement convenu de céder et d'acquérir les parts de A.________ Sàrl; elles ont aussi convenu que l'acquéreur succéderait au cédant à la tête de l'entreprise exploitée par cette société, et elles ont prévu une période et des modalités de transition notamment destinées, de toute évidence, à éviter autant que possible que la succession n'entraîne une perte de clientèle. A ce sujet, elles ont adopté une clause spécifique relative au « Club B », les clients concernés étant réservés au cédant et donc soustraits à la société. La convention du 16 mai 2008 se présente ainsi, à première vue, comme un contrat sui generis de remise de commerce (cf. ATF 128 III 18 consid. 2.1 p. 21), comportant notamment la cession des parts sociales. Il n'est cependant pas nécessaire de discuter plus longuement la qualification juridique de ce contrat.</w:t>
      </w:r>
    </w:p>
    <w:p>
      <w:r>
        <w:rPr>
          <w:b/>
        </w:rPr>
        <w:t>E. 3</w:t>
      </w:r>
    </w:p>
    <w:p>
      <w:r>
        <w:t>Le demandeur soutient que le contrat ne l'oblige pas, que lui-même n'est donc pas débiteur du solde du prix convenu et qu'il est au contraire autorisé à recouvrer la part du prix déjà payée. Il développe essentiellement quatre moyens: le contrat est entaché d'un vice de forme; conclu sous l'emprise de l'erreur, il a été valablement invalidé; il a de surcroît été résilié; enfin, son exécution est devenue impossible.</w:t>
      </w:r>
    </w:p>
    <w:p>
      <w:r>
        <w:rPr>
          <w:b/>
        </w:rPr>
        <w:t>E. 4</w:t>
      </w:r>
    </w:p>
    <w:p>
      <w:r>
        <w:t>Aux termes de l' art. 785 al. 1 et 2 CO , le contrat de cession de parts sociales doit revêtir la forme écrite (al. 1) et contenir les mêmes renvois aux droits et obligations statutaires que l'acte de souscription des parts sociales (al. 2). Cette disposition fait donc référence à l'art. 777a al. 2 ch. 1 à 5 CO, selon lequel l'acte de souscription doit renvoyer aux clauses statutaires concernant l'obligation d'effectuer des versements supplémentaires (ch. 1), l'obligation de fournir des prestations accessoires (ch. 2), la prohibition pour les associés de faire concurrence (ch. 3), les droits de préférence, de préemption et d'emption des associés ou de la société (ch. 4), et enfin les peines conventionnelles (ch. 5).</w:t>
      </w:r>
    </w:p>
    <w:p>
      <w:r>
        <w:t>Selon le demandeur, le contrat souscrit le 16 mai 2008 ne contient pas ces renvois aux clauses statutaires et ce vice de forme entraîne l'invalidité du contrat par l'effet de l' art. 11 al. 2 CO . Il s'agit d'une argumentation juridique nouvelle qui n'a pas été avancée devant les autorités précédentes; elle est en principe recevable au regard de l' art. 99 LTF , pour autant qu'elle repose sur les constatations de fait de la décision attaquée ( ATF 136 V 362 consid. 4.1 p. 366; 134 III 643 consid. 5.3.2 p. 651).</w:t>
      </w:r>
    </w:p>
    <w:p>
      <w:r>
        <w:t>La teneur complète du contrat n'est pas constatée par la Cour de justice et sa décision ne permet donc pas de reconnaître si ce texte contient ou ne contient pas de renvois aux clauses statutaires. L'absence de renvois n'est d'ailleurs pas non plus constatée. La teneur des statuts n'est pas davantage établie et on ignore donc s'ils contiennent l'une ou l'autre des clauses visées par l' art. 777a al. 2 CO . Aucune d'elles n'est obligatoire selon l' art. 776 CO et leur présence ne saurait donc se présumer. Le moyen que le demandeur prétend tirer de l' art. 785 CO se révèle donc irrecevable, faute de reposer sur des constatations de fait suffisantes.</w:t>
      </w:r>
    </w:p>
    <w:p>
      <w:r>
        <w:rPr>
          <w:b/>
        </w:rPr>
        <w:t>E. 5</w:t>
      </w:r>
    </w:p>
    <w:p>
      <w:r>
        <w:t>A teneur de l' art. 23 CO , le contrat n'oblige pas celle des parties qui, au moment de conclure, se trouvait dans une erreur essentielle. Selon l' art. 24 al. 1 ch. 3 et 4 CO , parmi d'autres cas, il y a erreur essentielle lorsque l'un des cocontractants a promis une prestation notablement plus étendue ou s'est fait promettre une prestation notablement moins étendue qu'il ne le voulait (ch. 3), ou lorsqu'il s'est mépris sur des faits qu'il pouvait considérer, du point de vue de la loyauté en affaires, comme des éléments nécessaires du contrat (ch. 4). Dans cette dernière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 ATF 136 III 528 consid. 3.4.1 p. 531; 135 III 537 consid. 2.2 p. 541/542; 132 III 737 consid. 1.3 p. 741). Elucider ce que les parties avaient à l'esprit au moment de conclure relève de la constatation des faits, tandis qu'apprécier si l'erreur constatée est essentielle s'inscrit dans l'application du droit ( ATF 135 III 537 consid. 2.2 p. 542; 113 II 25 consid. 1a p. 27).</w:t>
      </w:r>
    </w:p>
    <w:p>
      <w:r>
        <w:t>Selon le demandeur, le « portefeuille de clients » est le principal actif d'une société de services telle qu'une fiduciaire. Dès le début de sa collaboration avec le défendeur, il a prétendument constaté qu'une « proportion conséquente des mandats [...] rendaient nécessaire une implication importante » de ce dernier et il a alors compris « qu'une grande partie de la clientèle de la société ne pourrait en réalité pas lui être transférée ». En d'autres termes, « de nombreux mandats se sont révélés intransférables à raison de leur caractère personnel aigu ». De plus, « [le demandeur] pensait que l'activité de la société reprise porterait davantage sur la comptabilité. Or, cette activité était avant tout une activité de conseil. Une telle divergence ne pouvait pas être anticipée dans la due diligence, laquelle portait avant tout sur la santé financière de la société. [Le demandeur] ne pouvait pas apprécier correctement le travail quotidien sans commencer effectivement ce travail quotidien. En outre, il n'avait pas de raison de penser que l'activité serait fondamentalement différente de ce qu'il avait toujours fait, puisqu'il restait dans son même domaine de compétence. »</w:t>
      </w:r>
    </w:p>
    <w:p>
      <w:r>
        <w:t>Cette argumentation est très superficielle et imprécise. Dans une large mesure, elle semble elle aussi nouvelle, quoique le demandeur ait déjà invoqué son erreur dans les instances précédentes; il fait grief à la Cour de justice de n'avoir pas correctement compris et discuté son point de vue.</w:t>
      </w:r>
    </w:p>
    <w:p>
      <w:r>
        <w:t>Les constatations déterminantes selon l' art. 105 al. 1 LTF n'indiquent en aucune manière ce que le demandeur pensait ou envisageait au moment de conclure le contrat, au sujet de la nature des affaires traitées par A.________ Sàrl, ni quelle était la nature effective de ces affaires, par hypothèse différente. Il n'en ressort pas non plus que certaines desdites affaires eussent un lien particulièrement étroit avec le défendeur personnellement, au point que le changement de direction entraînerait inévitablement la perte du client. Le demandeur se plaint d'un état de fait incomplet mais il n'indique pas quels sont les éléments concrets et topiques, dûment allégués et prouvés, dont la constatation a été censément omise. En vérité, le moyen tiré de l' art. 23 CO est inconsistant.</w:t>
      </w:r>
    </w:p>
    <w:p>
      <w:r>
        <w:t>Le demandeur s'est aussi plaint de dol: il reprochait à son cocontractant ne l'avoir pas informé de sa tentative de céder l'entreprise en 2005, ni des motifs de son échec. Devant le Tribunal fédéral, il renonce explicitement à persister dans ce moyen.</w:t>
      </w:r>
    </w:p>
    <w:p>
      <w:r>
        <w:rPr>
          <w:b/>
        </w:rPr>
        <w:t>E. 6</w:t>
      </w:r>
    </w:p>
    <w:p>
      <w:r>
        <w:t>Le contrat du 16 mai 2008 contient une clause relative aux droits du cédant en cas de retard de l'acquéreur dans le paiement du prix. En dépit de la thèse longuement développée à l'appui du recours, cette clause ne saurait être interprétée en ce sens que l'acquéreur serait autorisé à résilier le contrat par suite de son propre refus de l'exécuter. La jurisprudence également mentionnée ( ATF 76 II 300 ), relative à l' art. 107 CO , n'autorise pas non plus le débiteur à invoquer sa propre demeure pour se départir du contrat.</w:t>
      </w:r>
    </w:p>
    <w:p>
      <w:r>
        <w:rPr>
          <w:b/>
        </w:rPr>
        <w:t>E. 7</w:t>
      </w:r>
    </w:p>
    <w:p>
      <w:r>
        <w:t>Le demandeur se plaint d'une décision « inexécutable en pratique et totalement incohérente en droit » parce que les « prestations personnelles », c'est-à-dire la gestion conjointe de la société par les deux cocontractants, du 1er juin 2008 au 31 mai 2009, sont prétendument devenues impossibles. Le demandeur ne serait éventuellement libéré de son obligation, par l'effet de l' art. 119 al. 1 CO , que dans l'hypothèse où l'impossibilité résulterait de circonstances qui ne lui soient pas imputables. Or, de pareilles circonstances ne sont pas établies; au contraire, l'échec de la transition initialement prévue par les parties ne trouve son origine, semble-t-il, que dans la décision du demandeur d'y mettre fin sans motif objectivement fondé. Le paiement complet du prix demeure évidemment possible et le demandeur sera ensuite en droit de réclamer le transfert des parts sociales. Certes, il ne désire plus les acquérir et leur valeur intrinsèque a peut-être diminué, notamment par suite de pertes de clientèle, depuis le moment où il s'est retiré de la gestion; néanmoins, le contrat demeure valable et le prix convenu demeure aussi exigible.</w:t>
      </w:r>
    </w:p>
    <w:p>
      <w:r>
        <w:rPr>
          <w:b/>
        </w:rPr>
        <w:t>E. 8</w:t>
      </w:r>
    </w:p>
    <w:p>
      <w:r>
        <w:t>Le recours se révèle privé de fondement, dans la mesure où les moyens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