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300/2023 vom 9. Oktober 2023</w:t>
      </w:r>
    </w:p>
    <w:p>
      <w:r>
        <w:t>Bundesgericht, 2023-10-09, FR</w:t>
      </w:r>
    </w:p>
    <w:p>
      <w:r>
        <w:rPr>
          <w:b/>
        </w:rPr>
        <w:t xml:space="preserve">Quelle: </w:t>
      </w:r>
      <w:r>
        <w:t>https://mcp.opencaselaw.ch/entscheid/bger_4A_300_2023</w:t>
      </w:r>
    </w:p>
    <w:p>
      <w:r>
        <w:t>FR: TF 4A 300/2023 du 9 octobre 2023</w:t>
      </w:r>
    </w:p>
    <w:p>
      <w:r>
        <w:t>IT: TF 4A 300/2023 del 9 ottobre 2023</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celles-ci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siège respectivement son domicile en Suisse au moment déterminant. Les dispositions du chapitre 12 de la LDIP sont donc applicables ( art. 176 al. 1 LDIP ).</w:t>
      </w:r>
    </w:p>
    <w:p>
      <w:r>
        <w:rPr>
          <w:b/>
        </w:rPr>
        <w:t>E. 3</w:t>
      </w:r>
    </w:p>
    <w:p>
      <w:r>
        <w:t>Qu'il s'agisse de l'objet du recours, de la qualité pour recourir, du délai de recours ou encore des conclusions prises par la recourante, aucune de ces conditions de recevabilité ne fait problème en l'espèce. Rien ne s'oppose donc à l'entrée en matière. Demeure réservé l'examen de la recevabilité des différents griefs soulevés par l'intéressée.</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la recourante, invoquant l' art. 190 al. 2 let . e LDIP, reproche à la Formation d'avoir violé le principe de la fidélité contractuelle et, partant, d'avoir rendu une sentence incompatible avec l'ordre public matériel.</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 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du 14 décembre 2017 consid. 3.3.3).</w:t>
      </w:r>
    </w:p>
    <w:p>
      <w:r>
        <w:rPr>
          <w:b/>
        </w:rPr>
        <w:t>E. 5.2</w:t>
      </w:r>
    </w:p>
    <w:p>
      <w:r>
        <w:t>Le principe de la fidélité contractuelle,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(arrêts 4A_660/2020 du 15 février 2021 consid. 3.2.2; 4A_70/2020 du 18 juin 2020 consid. 7.3.1; 4A_318/2017 du 28 août 2017 consid. 4.2).</w:t>
      </w:r>
    </w:p>
    <w:p>
      <w:r>
        <w:rPr>
          <w:b/>
        </w:rPr>
        <w:t>E. 5.3</w:t>
      </w:r>
    </w:p>
    <w:p>
      <w:r>
        <w:t>Dans la sentence attaquée, le TAS a considéré que le contrat signé le 27 août 2021 réunissait tous les éléments essentiels d'un contrat de travail au sens de l'art. 319 du Code des obligations suisse (CO) et de la réglementation édictée par la FIFA (art. 2 de l'Annexe 2 au Règlement du Statut et du Transfert des Joueurs [RSJT]). La Formation a estimé que la relation contractuelle avait été nouée entre l'intimé et la recourante, et non pas avec les autorités étatiques (...). Elle a considéré que la recourante était en réalité l'employeur de l'intimé, raison pour laquelle elle était responsable du paiement des montants dus à ce dernier en vertu dudit contrat. Par conséquent, c'est à la recourante qu'il incombait d'assumer les conséquences financières résultant de la fin des rapports de travail, ce d'autant que c'est elle qui avait procédé au licenciement de l'intimé (sentence, n. 95 s.). Poursuivant son analyse, le TAS a jugé que la résiliation du contrat de travail avait été opérée sans juste motif. A cet égard, il a relevé que, selon l'art. 3 du contrat de travail, l'intimé était tenu de mettre tout en oeuvre pour gagner la Coupe d'Afrique des Nations ou tout au moins atteindre la finale. La Formation a estimé que l'intimé n'assumait pas d'obligation de résultat. Elle a aussi considéré que l'intéressé avait respecté ses obligations contractuelles, dès lors qu'il avait tout mis en oeuvre pour atteindre la finale de ladite compétition, qu'il avait réussi à décrocher la troisième place de la Coupe d'Afrique des Nations avec la sélection nationale (...) et qu'il était parvenu à qualifier son équipe pour la phase finale de la Coupe du monde de football 2022.</w:t>
      </w:r>
    </w:p>
    <w:p>
      <w:r>
        <w:rPr>
          <w:b/>
        </w:rPr>
        <w:t>E. 5.4</w:t>
      </w:r>
    </w:p>
    <w:p>
      <w:r>
        <w:t>Pour étayer son grief, l'intéressée reproche, en premier lieu, aux arbitres d'avoir méconnu le principe de la fidélité contractuelle en retenant qu'elle était l'employeur de l'intimé et qu'elle était responsable du paiement de son salaire, alors même qu'ils avaient auparavant souligné que les obligations contractuelles de nature financière étaient à la charge du Ministre des sports (...). Selon elle, une telle solution serait " arbitraire " car le TAS n'a pas indiqué les raisons pour lesquelles il estimait que la recourante devait assumer le paiement du salaire de l'intimé, alors que les versements avaient toujours été effectués par les autorités étatiques (...) durant les rapports de travail. Elle est d'avis que la Formation a appliqué une disposition contractuelle en se mettant en contradiction avec le résultat de son interprétation du contrat de travail. En second lieu, la recourante prétend que le TAS aurait enfreint le principe de la fidélité contractuelle en niant l'existence d'un juste motif de résiliation du contrat de travail, alors qu'il avait précédemment constaté que ledit contrat permettait à l'intéressée de mettre fin aux rapports de travail si l'intimé n'atteignait pas la finale de la Coupe d'Afrique des Nations, ce qui avait été le cas en l'espèce.</w:t>
      </w:r>
    </w:p>
    <w:p>
      <w:r>
        <w:rPr>
          <w:b/>
        </w:rPr>
        <w:t>E. 5.5</w:t>
      </w:r>
    </w:p>
    <w:p>
      <w:r>
        <w:t>Force est d'emblée d'observer que, sous le couvert du moyen pris de la violation du principe pacta sunt servanda , la recourante tente, vainement, de s'en prendre aux conséquences tirées du processus d'interprétation du contrat de travail liant les parties, ce qui n'est pas admissible. Quoi qu'il en soit, il sied de relever que le TAS n'a pas violé le principe de la fidélité contractuelle au sens restrictif que lui donne la jurisprudence relative à l' art. 190 al. 2 let . e LDIP, puisqu'il n'a pas appliqué ou refusé d'appliquer une disposition contractuelle liant les parties en se mettant en contradiction avec le résultat de son interprétation, ce qui seul importe ici. Bien que la recourante soutienne le contraire, la Formation n'a pas enfreint le principe de la fidélité contractuelle en jugeant qu'elle était responsable du paiement du salaire de l'intimé, puisqu'elle n'a pas refusé d'appliquer une disposition contractuelle en se mettant en contradiction avec le résultat de son interprétation. L'argumentation développée par la recourante, qui repose sur une lecture par trop réductrice des considérations juridiques émises dans la sentence entreprise, ne laisse en effet apparaître aucune contradiction qui serait incompatible avec le principe de la fidélité contractuelle. Si la Formation a certes relevé qu'une clause du contrat de travail prévoyait que le salaire de l'intimé devait être versé par le Ministre des sports (...), elle a toutefois considéré, sur la base de son interprétation de l'ensemble des clauses du contrat de travail, que les rapports contractuels liaient l'intimé et la recourante, et non pas le Ministre des sports (...). Le point de savoir si cette appréciation juridique est matériellement correcte échappe à la cognition du Tribunal fédéral. Pour le reste, la recourante fait fausse route lorsque, se fondant sur une jurisprudence relative à la portée de la fidélité contractuelle sous l'angle de l' art. 190 al. 2 let . e LDIP qui n'est plus d'actualité, elle s'attache à démontrer que le TAS aurait fondé sa décision sur des "considérations non déterminantes" (cf. arrêt 4A_632/2021 du 28 avril 2022 consid. 5.3 et 5.4). L'intéressée ne peut pas davantage être suivie, lorsqu'elle affirme que la Formation aurait rendu une sentence contraire au principe pacta sunt servanda en retenant " que le contrat permettait à la recourante de résilier le contrat pour le cas où l'intimé n'atteindrait pas la finale de la Coupe d'Afrique des Nations 2021", tout en jugeant néanmoins que le licenciement ne reposait pas sur un juste motif. Une lecture attentive de la sentence attaquée permet en effet de constater que la Formation n'a jamais retenu que la recourante était en droit de mettre fin aux rapports de travail si l'intimé ne qualifiait pas la sélection nationale (...) pour la finale de la Coupe d'Afrique des Nations. Les arbitres ont, au contraire, souligné que l'intimé n'assumait aucun devoir de résultat mais uniquement une obligation de tout mettre en oeuvre pour remporter cette compétition ou atteindre la finale. Aussi est-ce à tort que l'intéressée croit déceler dans la sentence querellée une contradiction dans le raisonnement tenu par les arbitres. Il s'ensuit le rejet du grief examiné dans la mesure de sa recevabilité.</w:t>
      </w:r>
    </w:p>
    <w:p>
      <w:r>
        <w:rPr>
          <w:b/>
        </w:rPr>
        <w:t>E. 6</w:t>
      </w:r>
    </w:p>
    <w:p>
      <w:r>
        <w:t>Dans un second moyen, la recourante soutient que le TAS n'a pas respecté son droit d'être entendue et, partant, a violé l' art. 190 al. 2 let . d LDIP.</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6.2</w:t>
      </w:r>
    </w:p>
    <w:p>
      <w:r>
        <w:t>La recourante reproche à la Formation de n'avoir pas traité son argument selon lequel les parties avaient prévu que les obligations financières résultant du contrat de travail incombaient exclusivement au Ministre des sports (...). Elle fait également grief aux arbitres d'avoir abouti à la solution retenue par eux sur la base d'un raisonnement imprévisible.</w:t>
      </w:r>
    </w:p>
    <w:p>
      <w:r>
        <w:rPr>
          <w:b/>
        </w:rPr>
        <w:t>E. 6.3</w:t>
      </w:r>
    </w:p>
    <w:p>
      <w:r>
        <w:t>A la lecture de l'argumentation développée par l'intéressée, il saute aux yeux que celle-ci tente, sous le couvert d'une prétendue atteinte à son droit d'être entendue, de s'en prendre au résultat de l'interprétation du contrat de travail liant les parties opérée par les arbitres. Il va sans dire que pareille démarche est vouée à l'échec en matière d'arbitrage international. En tout état de cause, force est de relever que la Formation a bel et bien traité la question de savoir qui devait assumer le paiement des obligations financières liées au contrat de travail, puisqu'elle a consacré un chapitre entier de sa sentence à l'examen de cette problématique (sentence, n. 92-96). Les arbitres ont du reste pris en considération les arguments avancés à cet égard par la recourante, puisqu'ils ont correctement exposé la position défendue par elle sous n. 60 de leur sentence. Cela étant, la Formation a visiblement rejeté, à tout le moins de manière implicite, la thèse prônée par la recourante. C'est le lieu de rappeler ici que l'intéressée ne saurait obtenir des explications sur chaque détail du raisonnement tenu par les arbitres. En l'occurrence, il ressort de la motivation retenue par la Formation que celle-ci n'a de toute évidence pas jugé décisive l'argumentation développée par la recourante puisque, au terme de son interprétation du contrat de travail et de son appréciation des preuves disponibles, elle a jugé que c'est la recourante qui revêtait la qualité d'employeur (et non pas le Ministre des sports (...)), raison pour laquelle elle était tenue, à ce titre, d'honorer les engagements financiers en lien avec les rapports de travail. Il appert ainsi que les arbitres ont visiblement considéré que le texte de l'art. 4 du contrat de travail n'était pas décisif. Quant à savoir si la motivation fournie est cohérente et convaincante, cette question ne ressortit pas au droit d'être entendu et échappe, partant, à la cognition de la Cour de céans. Pour le reste, c'est en vain que l'intéressée plaide l'effet de surprise, puisque le raisonnement tenu par les arbitres n'avait rien d'imprévisible.</w:t>
      </w:r>
    </w:p>
    <w:p>
      <w:r>
        <w:rPr>
          <w:b/>
        </w:rPr>
        <w:t>E. 7</w:t>
      </w:r>
    </w:p>
    <w:p>
      <w:r>
        <w:t>Au vu de ce qui précède, le recours doit être rejeté dans la mesure de sa recevabilité. La recourante,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