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4A_2/2026 vom 27. Februar 2026</w:t>
      </w:r>
    </w:p>
    <w:p>
      <w:r>
        <w:t>Bundesgericht, 2026-02-27, DE</w:t>
      </w:r>
    </w:p>
    <w:p>
      <w:r>
        <w:rPr>
          <w:b/>
        </w:rPr>
        <w:t xml:space="preserve">Quelle: </w:t>
      </w:r>
      <w:r>
        <w:t>https://mcp.opencaselaw.ch/entscheid/bger_4A_2_2026</w:t>
      </w:r>
    </w:p>
    <w:p>
      <w:r>
        <w:t>FR: TF 4A_2/2026 du 27 février 2026</w:t>
      </w:r>
    </w:p>
    <w:p>
      <w:r>
        <w:t>IT: TF 4A_2/2026 del 27 febbraio 2026</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Die Vorinstanz erliess am 2. und 10. Dezember 2025 je eine Präsidialverfügung. Darin befasste sie sich insbesondere auch mit der aufschiebenden Wirkung der Berufung. Am 2. Dezember 2025 erwog sie, eine Berufung, die sich gegen Anordnungen zur Behebung von Organisationsmängeln richte, entfalte von Gesetzes wegen aufschiebende Wirkung. In der Folge ersuchte der Beschwerdeführer die Vorinstanz um wiedererwägungsweise Feststellung, dass die Berufung entgegen ihrer früheren Erwägungen keine aufschiebende Wirkung entfalte. Mit Präsidialverfügung vom 10. Dezember 2025 wies die Vorinstanz dieses Wiedererwägungsgesuch ab. Der Beschwerdeführer ficht beim Bundesgericht beide Präsidialverfügungen an. Er macht geltend, der Wiedererwägungsentscheid vom 10. Dezember 2025 unterscheide sich "weder im Ergebnis noch in der Begründung" vom ursprünglichen Entscheid vom 2. Dezember 2025. Entsprechend ersetze dieser Wiedererwägungsentscheid den ursprünglichen Entscheid nicht. Folglich bilde der Entscheid vom 2. Dezember 2025 das Anfechtungsobjekt des bundesgerichtlichen Beschwerdeverfahrens, während der Entscheid vom 10. Dezember 2025 bloss "als mitangefochten" gelte.</w:t>
      </w:r>
    </w:p>
    <w:p>
      <w:r>
        <w:rPr>
          <w:b/>
        </w:rPr>
        <w:t>E. 1.2</w:t>
      </w:r>
    </w:p>
    <w:p>
      <w:r>
        <w:t>Die Auffassung des Beschwerdeführers trifft nicht zu: Zwei prozessleitende Verfügungen, welche exakt dieselbe Frage - vorliegend die aufschiebende Wirkung - regeln, können aus Rechtssicherheitsgründen nicht nebeneinander bestehen. Im Folgenden ist daher zu prüfen, welche der beiden Präsidialverfügungen das Anfechtungsobjekt der vorliegenden Beschwerde bildet.</w:t>
      </w:r>
    </w:p>
    <w:p>
      <w:r>
        <w:t>Prozessleitende Verfügungen über die aufschiebende Wirkung von Rechtsmitteln werden nicht materiell rechtskräftig. Entsprechend kann die Rechtsmittelinstanz sie in Wiedererwägung ziehen (Urteil 5A_403/2015 vom 28. August 2015 E. 7.2; VALENTA/CANELLA, Die Wiedererwägung im Zivilprozess, ZZZ 2023, 248).</w:t>
      </w:r>
    </w:p>
    <w:p>
      <w:r>
        <w:t>Ein Wiedererwägungsgesuch richtet sich gleich wie ein Revisionsgesuch an den iudex a quo, das heisst an das Gericht, von dem der zu korrigierende Entscheid ausging. Wenn das Gericht auf ein Wiedererwägungsgesuch vollumfänglich eintritt und dieses Gesuch anschliessend materiell behandelt, entscheidet es neu (vgl. für das Revisionsverfahren Art. 333 Abs. 1 ZPO ). Die Wiedererwägungsverfügung ersetzt mit anderen Worten die ursprüngliche prozessleitende Verfügung. Dies gilt auch dann, wenn das Gericht wiedererwägungsweise zum gleichen Resultat gelangt wie in seiner ursprünglichen Verfügung. Das Abweisen eines Wiedererwägungsgesuchs führt somit nicht zu einem Fortbestehen der ursprünglichen Verfügung. Letzteres wäre nur bei einem Nichteintreten auf das Wiedererwägungsgesuch der Fall. Die Beschwerde kann sich daher einzig gegen die Präsidialverfügung vom 10. Dezember 2025 richten. An dieser Tatsache vermag auch das in der Beschwerde als Beleg angeführte Urteil des Bundesverwaltungsgerichts C-81/2023 vom 18. Oktober 2023 E. 3.2 f. nichts zu ändern. Dieser Entscheid ist nicht einschlägig, zog doch darin eine Verwaltungsbehörde gestützt auf Art. 58 VwVG ihre Verfügung während eines bei einer oberen Instanz hängigen Rechtsstreites (sog. pendente lite) in Wiedererwägung.</w:t>
      </w:r>
    </w:p>
    <w:p>
      <w:r>
        <w:t>Zusammenfassend ist somit auf die Beschwerde nicht einzutreten, soweit sich diese gegen die Präsidialverfügung vom 2. Dezember 2025 richtet.</w:t>
      </w:r>
    </w:p>
    <w:p>
      <w:r>
        <w:rPr>
          <w:b/>
        </w:rPr>
        <w:t>E. 2.1</w:t>
      </w:r>
    </w:p>
    <w:p>
      <w:r>
        <w:t>Gegenstand der vorliegenden Beschwerde ist die Frage, ob die Berufung der Beschwerdegegnerin aufschiebende Wirkung entfaltet. Eine Anordnung betreffend aufschiebende Wirkung schliesst das Verfahren in der Hauptsache weder ganz ( Art. 90 BGG ) noch teilweise ( Art. 91 BGG ) ab. Da sich diese Anordnung auch nicht über die Zuständigkeit und den Ausstand ( Art. 92 BGG ) äussert, ist sie als anderer selbstständig eröffneter Vor- und Zwischenentscheid im Sinne von Art. 93 Abs. 1 BGG zu qualifizieren (vgl. BGE 134 II 192 E. 1.4 f.).</w:t>
      </w:r>
    </w:p>
    <w:p>
      <w:r>
        <w:t>Ein solcher Zwischenentscheid kann nur direkt mit Beschwerde beim Bundesgericht angefochten werden, wenn er entweder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rechtlicher Natur sein, was voraussetzt, dass er durch einen späteren günstigen Entscheid nicht oder nicht mehr vollständig behoben werden kann. Rein tatsächliche Nachteile wie die Verlängerung oder Verteuerung des Verfahrens reichen nicht aus ( BGE 148 IV 155 E. 1.1; 142 III 798 E. 2.2; 141 III 80 E. 1.2).</w:t>
      </w:r>
    </w:p>
    <w:p>
      <w:r>
        <w:rPr>
          <w:b/>
        </w:rPr>
        <w:t>E. 2.2</w:t>
      </w:r>
    </w:p>
    <w:p>
      <w:r>
        <w:t>Der Beschwerdeführer macht geltend, E.________ habe sich zusammen mit F.________ in den Verwaltungsrat der Beschwerdegegnerin 1 wählen und als vertretungsberechtigte Verwaltungsratsmitglieder in das Handelsregister eintragen lassen. Wenn das Gericht der vorsorglichen Einsetzung der Sachwalterin nicht unmittelbar Wirkung verleihe, könne sich E.________ zu Lasten des Beschwerdeführers Organbefugnisse anmassen, die ihm nicht zustünden. Wie im Folgenden aufzuzeigen sein wird, ist der Beschwerde kein Erfolg beschieden. Damit kann offenbleiben, ob dem Beschwerdeführer ein nicht wieder gutzumachender rechtlicher Nachteil im Sinne von Art. 93 Abs. 1 lit. a BGG droht.</w:t>
      </w:r>
    </w:p>
    <w:p>
      <w:r>
        <w:rPr>
          <w:b/>
        </w:rPr>
        <w:t>E. 2.3</w:t>
      </w:r>
    </w:p>
    <w:p>
      <w:r>
        <w:t>Im Übrigen ist der Beschwerdeführer mit seinen Anträgen nicht durchgedrungen ( Art. 76 Abs. 1 BGG ). Auch hat er die Beschwerdefrist eingehalten ( Art. 100 Abs. 1 BGG ). Der Streitwert von Fr. 200'000.-- überschreitet die entsprechende Grenze für eine Beschwerde in Zivilsachen gemäss Art. 74 Abs. 1 lit. b BGG . Unter Vorbehalt einer hinreichenden Begründung ist demnach auf seine Beschwerde einzutreten ( Art. 42 Abs. 2 und Art. 106 Abs. 2 BGG ).</w:t>
      </w:r>
    </w:p>
    <w:p>
      <w:r>
        <w:rPr>
          <w:b/>
        </w:rPr>
        <w:t>E. 3.1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3.3</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4.1</w:t>
      </w:r>
    </w:p>
    <w:p>
      <w:r>
        <w:t>Der Beschwerdeführer reichte bei der Vorinstanz ein Wiedererwägungsgesuch mit einem Haupt-, Eventual- und Subeventualantrag ein.</w:t>
      </w:r>
    </w:p>
    <w:p>
      <w:r>
        <w:rPr>
          <w:b/>
        </w:rPr>
        <w:t>E. 4.1.1</w:t>
      </w:r>
    </w:p>
    <w:p>
      <w:r>
        <w:t>In seinem Hauptantrag ersuchte der Beschwerdeführer die Vorinstanz um Feststellung, dass der Berufung der Beschwerdegegnerin 1 keine aufschiebende Wirkung zukomme. Die Vorinstanz wies dieses Begehren mit der Begründung ab, die Erstinstanz habe keine vorsorglichen Massnahmen erlassen. Vielmehr habe sie gestützt auf die materiellrechtliche Bestimmung von Art. 731b OR eine Sachwalterin eingesetzt. Damit entfalte die Berufung der Beschwerdegegnerin 1 von Gesetzes wegen aufschiebende Wirkung.</w:t>
      </w:r>
    </w:p>
    <w:p>
      <w:r>
        <w:rPr>
          <w:b/>
        </w:rPr>
        <w:t>E. 4.1.2</w:t>
      </w:r>
    </w:p>
    <w:p>
      <w:r>
        <w:t>Eventualiter ersuchte der Beschwerdeführer die Vorinstanz um Entzug der aufschiebenden Wirkung. Auch diesen Antrag wies die Vorinstanz ab. Sie erwog, die vorinstanzliche Einsetzung einer Sachwalterin sei als Gestaltungsentscheid zu qualifizieren, der nach Art. 315 Abs. 3 ZPO von Gesetzes wegen aufschiebende Wirkung entfalte.</w:t>
      </w:r>
    </w:p>
    <w:p>
      <w:r>
        <w:rPr>
          <w:b/>
        </w:rPr>
        <w:t>E. 4.1.3</w:t>
      </w:r>
    </w:p>
    <w:p>
      <w:r>
        <w:t>Subeventualiter beantragte der Beschwerdeführer der Vorinstanz, das Handelsregisteramt des Kantons Zug sei anzuweisen, bis zum Abschluss des Berufungsverfahrens keine Generalversammlungsbeschlüsse der Beschwerdegegnerin 1 in sein Tagesregister einzutragen. Dazu zähle insbesondere eine Wahl von F.________ in den Verwaltungsrat. Die Vorinstanz wies auch diesen Subeventualantrag ab. Sie erwog, der Beschwerdeführer substanziiere nicht näher, welcher nicht leicht wiedergutzumachender Nachteil ihm drohe, wenn E.________ und/oder F.________ in den Verwaltungsrat gewählt und in dieser Eigenschaft in das Handelsregister eingetragen würden. Insbesondere bezeichne der Beschwerdeführer keinen Schaden, den E.________ und/oder F.________ der Beschwerdegegnerin 1 zu verursachen drohten.</w:t>
      </w:r>
    </w:p>
    <w:p>
      <w:r>
        <w:rPr>
          <w:b/>
        </w:rPr>
        <w:t>E. 4.2</w:t>
      </w:r>
    </w:p>
    <w:p>
      <w:r>
        <w:t>Der Beschwerdeführer hält dem entgegen, Art. 731b OR vermittle allen Aktionären einen Anspruch darauf, dass ihre Aktiengesellschaft die gesetzlichen Organisationsvorschriften einhalte. Jeder Aktionär könne im Rahmen seiner Dispositionsbefugnis frei entscheiden, ob er zunächst nur um einstweiligen Rechtsschutz ersuchen oder ob er seinen Anspruch auf Beseitigung des Organisationsmangels in einem Erkenntnisverfahren auf definitiven Rechtsschutz durchsetzen wolle. Auch wenn in beiden Fällen Art. 731b OR die materiellrechtliche Anspruchsgrundlage bilde, unterscheide sich das provisorische deutlich vom definitiven Erkenntnisverfahren. Art. 731b OR sei daher kein taugliches Abgrenzungskriterium für diese beiden Verfahren. Die Vorinstanz verkenne dies, wenn sie aus der Geltung von Art. 731b OR auf ein fehlendes Massnahmeverfahren schliesse. Alle Parteien und die Erstinstanz seien sich stets bewusst gewesen, dass sie ein Massnahmenverfahren führen würden. Eine Partei, die um vorsorglichen Rechtsschutz ersuche, habe Anspruch darauf, dass das Rechtsmittelverfahren nach den Bestimmungen über den vorsorglichen Rechtsschutz geführt werde. Die Vorinstanz sei fälschlicherweise davon ausgegangen, dass der erstinstanzliche Entscheid keine vorsorglichen Massnahmen regle. Damit habe sie Art. 315 Abs. 2 lit. b ZPO willkürlich angewandt.</w:t>
      </w:r>
    </w:p>
    <w:p>
      <w:r>
        <w:rPr>
          <w:b/>
        </w:rPr>
        <w:t>E. 5.1</w:t>
      </w:r>
    </w:p>
    <w:p>
      <w:r>
        <w:t>Die Gewährung oder der Entzug der aufschiebenden Wirkung ist eine prozessuale vorsorgliche Massnahme ( BGE 137 III 475 E. 2). Derartige Entscheide können beim Bundesgericht nur wegen der Verletzung verfassungsmässiger Rechte angefochten werden ( Art. 98 BGG ). Die Verletzung solcher Rechte prüft das Bundesgericht nur insofern, als eine entsprechende Rüge in der Beschwerde präzise vorgebracht und begründet worden ist ( Art. 106 Abs. 2 BGG ). Es muss klar und detailliert anhand der Erwägungen des angefochtenen Entscheids dargelegt werden, inwiefern verfassungsmässige Rechte verletzt worden sein sollen ( BGE 139 I 229 E. 2.2; 135 III 232 E. 1.2 ; 134 I 83 E. 3.2; je mit weiteren Hinweisen). Auf rein appellatorische Kritik am angefochtenen Entscheid tritt das Bundesgericht nicht ein ( BGE 149 III 81 E. 1.3; 142 III 364 E. 2.4; 140 III 264 E. 2.3).</w:t>
      </w:r>
    </w:p>
    <w:p>
      <w:r>
        <w:t>Dabei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144 III 368 E. 3.1; 140 III 167 E. 2.1).</w:t>
      </w:r>
    </w:p>
    <w:p>
      <w:r>
        <w:rPr>
          <w:b/>
        </w:rPr>
        <w:t>E. 5.2</w:t>
      </w:r>
    </w:p>
    <w:p>
      <w:r>
        <w:t>Die Zivilprozessordnung regelt die aufschiebende Wirkung der Berufung in Art. 315 ZPO : Danach hemmt dieses Rechtsmittel die Rechtskraft und die Vollstreckbarkeit des angefochtenen Entscheids im Umfang der Anträge (Abs. 1). Wenn der betroffenen Partei ein nicht leicht wiedergutzumachender Nachteil droht, kann die Rechtsmittelinstanz auf Gesuch hin die vorzeitige Vollstreckbarkeit bewilligen ( Art. 315 Abs. 4 lit. a ZPO ). Richtet sich die Berufung indessen gegen einen Gestaltungsentscheid hat sie stets aufschiebende Wirkung ( Art. 315 Abs. 3 ZPO ). Keine aufschiebende Wirkung entfaltet demgegenüber die Berufung gegen vorsorgliche Massnahmen ( Art. 315 Abs. 2 lit. b ZPO ). Indessen kann das Gericht hier die Vollstreckbarkeit auf Gesuch hin aufschieben, wenn der betroffenen Partei ein nicht leicht wiedergutzumachender Nachteil droht ( Art. 315 Abs. 4 lit. b ZPO ).</w:t>
      </w:r>
    </w:p>
    <w:p>
      <w:r>
        <w:rPr>
          <w:b/>
        </w:rPr>
        <w:t>E. 5.3</w:t>
      </w:r>
    </w:p>
    <w:p>
      <w:r>
        <w:t>Der Beschwerdeführer wirft der Vorinstanz vor, sie sei fälschlicherweise von einem Gestaltungsurteil ausgegangen. Entsprechend habe sie der beschwerdegegnerischen Berufung zu Unrecht aufschiebende Wirkung zuerkannt ( Art. 315 Abs. 3 ZPO ). Dabei habe sie indessen übersehen, dass die Erstinstanz vorsorgliche Massnahmen erlassen habe, welche gerade keine aufschiebende Wirkung entfalten würden ( Art. 315 Abs. 2 lit. b ZPO ).</w:t>
      </w:r>
    </w:p>
    <w:p>
      <w:r>
        <w:t>Mit diesen Ausführungen rügt der Beschwerdeführer bloss, die Vorinstanz habe gegen zivilprozessuale Normen und damit gegen einfaches Bundesrecht verstossen. Demgegenüber macht er nicht rechtsgenügend eine Verletzung von verfassungsmässigen Rechten im Sinne von Art. 98 BGG geltend. An dieser Tatsache vermögen auch seine Ausführungen zum Willkürverbot ( Art. 9 BV ) nichts zu ändern. Wendet eine Vorinstanz eine Gesetzesbestimmung falsch an, führt dies nicht automatisch zu einem willkürlichen Entscheid. Ginge man so weit, würde "willkürlich" zu einem Synonym für "rechtsverletzend". Damit verlöre Art. 98 BGG jede Begrenzungswirkung. Richtigerweise setzt Willkür eine qualifizierte Unrichtigkeit voraus (s. E. 5.1). Eine solche vermag der Beschwerdeführer indessen gerade nicht aufzuzeigen.</w:t>
      </w:r>
    </w:p>
    <w:p>
      <w:r>
        <w:rPr>
          <w:b/>
        </w:rPr>
        <w:t>E. 5.4</w:t>
      </w:r>
    </w:p>
    <w:p>
      <w:r>
        <w:t>Der Beschwerdeführer ersuchte die Vorinstanz hilfsweise um Entzug der aufschiebenden Wirkung (Eventualantrag) bzw. um Anordnung vorsorglicher Massnahmen (Subeventualantrag). Die Vorinstanz wies diese Begehren mit der Begründung ab, der Beschwerdeführer habe nirgends substanziiert, welcher nicht leicht wiedergutzumachender Nachteil ihm drohe, falls E.________ und/oder F.________ in den Verwaltungsrat gewählt und in dieser Eigenschaft im Handelsregister eingetragen werde. Der Beschwerdeführer hat sich vor Bundesgericht mit dieser Erwägung nicht auseinandergesetzt. Entsprechend erübrigen sich Ausführungen dazu.</w:t>
      </w:r>
    </w:p>
    <w:p>
      <w:r>
        <w:rPr>
          <w:b/>
        </w:rPr>
        <w:t>E. 6</w:t>
      </w:r>
    </w:p>
    <w:p>
      <w:r>
        <w:t>Die Beschwerde ist demnach abzuweisen, soweit darauf einzutreten ist.</w:t>
      </w:r>
    </w:p>
    <w:p>
      <w:r>
        <w:t>Bei diesem Ausgang des Verfahrens sind die Gerichtskosten dem Beschwerdeführer aufzuerlegen ( Art. 66 Abs. 1 BGG ). Die Beschwerdegegnerinnen 1 und 2 haben keinen Anspruch auf eine Parteientschädigung, da ihnen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