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2/2016 vom 18. Februar 2016</w:t>
      </w:r>
    </w:p>
    <w:p>
      <w:r>
        <w:t>Bundesgericht, 2016-02-18, DE</w:t>
      </w:r>
    </w:p>
    <w:p>
      <w:r>
        <w:rPr>
          <w:b/>
        </w:rPr>
        <w:t xml:space="preserve">Quelle: </w:t>
      </w:r>
      <w:r>
        <w:t>https://mcp.opencaselaw.ch/entscheid/bger_4A_2_2016</w:t>
      </w:r>
    </w:p>
    <w:p>
      <w:r>
        <w:t>FR: TF 4A 2/2016 du 18 février 2016</w:t>
      </w:r>
    </w:p>
    <w:p>
      <w:r>
        <w:t>IT: TF 4A 2/2016 del 18 febbraio 2016</w:t>
      </w:r>
    </w:p>
    <w:p>
      <w:pPr>
        <w:pStyle w:val="Heading2"/>
      </w:pPr>
      <w:r>
        <w:t>Regeste</w:t>
      </w:r>
    </w:p>
    <w:p>
      <w:r>
        <w:t>Rechtsschutz in klaren Fällen | Vertragsrecht</w:t>
      </w:r>
    </w:p>
    <w:p>
      <w:pPr>
        <w:pStyle w:val="Heading2"/>
      </w:pPr>
      <w:r>
        <w:t>Erwägungen</w:t>
      </w:r>
    </w:p>
    <w:p>
      <w:r>
        <w:rPr>
          <w:b/>
        </w:rPr>
        <w:t>E. 1</w:t>
      </w:r>
    </w:p>
    <w:p>
      <w:r>
        <w:t>Die Sachurteilsvoraussetzungen der Beschwerde in Zivilsachen sind erfüllt, namentlich mit einem Streitwert von Fr. 111'600.-- auch das Erfordernis gemäss Art. 74 Abs. 1 lit. a BGG . Unter Vorbehalt einer rechtsgenüglichen Begründung ( Art. 42 Abs. 2 BGG ) ist auf die Beschwerde einzutreten.</w:t>
      </w:r>
    </w:p>
    <w:p>
      <w:r>
        <w:rPr>
          <w:b/>
        </w:rPr>
        <w:t>E. 2.1</w:t>
      </w:r>
    </w:p>
    <w:p>
      <w:r>
        <w:t>Art. 257 Abs. 1 ZPO sieht unter dem Titel "Rechtsschutz in klaren Fällen" vor, dass das Gericht Rechtsschutz im summarischen Verfahren gewährt, wenn zum einen der Sachverhalt unbestritten oder sofort beweisbar (lit. a) und zum anderen die Rechtslage klar ist (lit. b). Kann dieser Rechtsschutz nicht gewährt werden, so tritt das Gericht auf das Gesuch nicht ein ( Art. 257 Abs. 3 ZPO ; BGE 140 III 315 E. 5). Ein Sachverhalt ist dann sofort beweisbar im Sinne von Art. 257 Abs. 1 lit. a ZPO , wenn er ohne zeitliche Verzögerung und ohne besonderen Aufwand nachgewiesen werden kann. Der Beweis ist - entsprechend Art. 254 Abs. 1 ZPO - in der Regel durch Urkunden zu erbringen ( BGE 141 III 23 E. 3.2 S. 26; 138 III 620 E. 5.1.1 S. 621; 138 III 123 E. 2.1.1 S. 125). Für die Verneinung eines klaren Falls genügt es, dass die beklagte Partei substanziiert und schlüssig Einwendungen vorträgt, die in tatsächlicher Hinsicht nicht sofort widerlegt werden können und die geeignet sind, die bereits gebildete richterliche Überzeugung zu erschüttern ( BGE 141 III 23 E. 3.2 S. 26; 138 III 620 E. 5.1.1 S. 623). Eine Glaubhaftmachung ist dazu nicht erforderlich, doch reichen offensichtlich unbegründete oder haltlose Bestreitungen nicht aus, um einen an sich bewiesenen Sachverhalt als illiquid erscheinen zu lassen ( BGE 138 III 620 E. 5.1.1; Urteil 5D_95/2015 vom 22. September 2015 E. 5.1). Die Rechtslage ist klar im Sinne von Art. 257 Abs. 1 lit. b ZPO ,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 BGE 141 III 23 E. 3.2 S. 26; 138 III 123 E. 2.1.2; je mit Hinweisen), wie dies beispielsweise bei der Beurteilung von Treu und Glauben zutrifft ( BGE 138 III 123 E. 2.1.2; Urteil 5D_95/2015 vom 22. September 2015 E. 4.1). Dabei ist die beispielhafte Erwähnung der Beurteilung von Treu und Glauben in der zitierten Rechtsprechung nicht so zu verstehen, dass ein klarer Fall in rechtlicher Hinsicht verneint werden muss, sobald eine missbräuchliche Rechtsausübung geltend gemacht wird. Denn das Rechtsmissbrauchsverbot setzt keine wertende Berücksichtigung aller Umstände im Sinn der zitierten Rechtsprechung voraus, wenn das Verhalten der betroffenen Partei offenkundig einen Missbrauch darstellt, was namentlich der Fall ist, wenn dieses in eine der in Rechtsprechung und Lehre anerkannten Fallgruppen einzuordnen ist (Urteile 4A_350/2015 vom 25. August 2015 E. 4.2; 4A_329/2013 vom 10. Dezember 2013 E. 6.1; je mit Hinweisen).</w:t>
      </w:r>
    </w:p>
    <w:p>
      <w:r>
        <w:rPr>
          <w:b/>
        </w:rPr>
        <w:t>E. 2.2</w:t>
      </w:r>
    </w:p>
    <w:p>
      <w:r>
        <w:t>Die Vorinstanz erwog, zwischen den Parteien sei unbestritten, dass die Gültigkeit des Vorvertrags zeitlich bis am 7. August 2015 limitiert gewesen sei. Der Beschwerdeführer vertrete die Auffassung, dass er mit seinem Schreiben vom 5. August 2015 an die Beschwerdegegner rechtzeitig auf seinen Anspruch auf Abschluss des Mietvertrags gepocht habe. Die Beschwerdegegner würden dem entgegen halten, dass sie die Verhandlungen mit dem Beschwerdeführer abgebrochen und den Vorvertrag nur auf dessen Drängen abgeschlossen hätten, da innert vier Wochen "ein Gastrovertrag ausgearbeitet sein" sollte. Unter diesen Umständen stehe fest, dass der Beschwerdeführer den Mietvertrag trotz der von den Beschwerdegegnern gewünschten Änderungen als verbindlich abschliessen wollte, während auf Seiten der Beschwerdegegner Vorbehalte bestünden, andernfalls sie am 7. Juli 2015 kaum darauf bestanden hätten, das ursprünglich als "Mietvertrag" betitelte Dokument in einen Vorvertrag umzuwandeln und dessen Gültigkeit zudem zeitlich auf einen Monat zu begrenzen. Unter diesen Umständen bleibe fraglich, ob das Schreiben des Rechtsvertreters des Beschwerdeführers vom 5. August 2015 ohne Akzept der Gegenseite genügen würde, um die Gültigkeit des Vorvertrags über den 7. August 2015 hinaus zu verlängern bzw. dem Beschwerdeführer über den genannten Zeitpunkt hinaus den Anspruch auf Abschluss des Mietvertrags zu erhalten. Es lasse sich nicht zum vornherein ausschliessen, dass die Beschwerdegegner zunächst nur bis zum 7. August 2015 gebunden sein wollten und es für den Abschluss des Haupt- bzw. des Mietvertrags einer (nochmaligen) übereinstimmenden gegenseitigen Willensäusserung beider Parteien im Sinne von Art. 1 Abs. 1 OR bedurft hätte. Dies scheine jedenfalls aufgrund des am 7. Juli 2015 von der Beschwerdegegnerin 2 handschriftlich angebrachten Zusatzes "Veränderungen beidseitig vorbehalten" zumindest nicht ausgeschlossen. Dieser Zusatz könne auch so interpretiert werden, dass die Parteien über den 7. August 2015 hinaus nur dann gebunden sein wollten, falls dies beidseitig vereinbart werden würde. Was es damit im Einzelnen auf sich habe, so die Vorinstanz weiter, könne aber offen bleiben. Entscheidend sei, dass die Beschwerdegegner Einwendungen erhoben hätten, die nicht zum vornherein als haltlos erscheinen würden. Demnach sei offen, wie die Parteien die am 7. Juli 2015 auf dem Vertrag am Schluss angebrachten Einschränkungen verstanden bzw. nach Treu und Glauben verstehen durften und welche rechtsverbindlichen Erklärungen sie darüber hinaus allenfalls noch abgegeben haben. Dabei sei es wohl unumgänglich, den Einzelheiten der Vertragsverhandlungen und insbesondere des Vertragsschlusses im Rahmen von Parteibefragungen oder allenfalls Beweisaussagen im Sinne von Art. 191 ff. ZPO auf den Grund zu gehen. Derartige Beweiserhebungen würden aber in der Regel den Rahmen eines Verfahrens nach Art. 257 ZPO sprengen, sodass vorliegend weder von einer klaren Sach- noch von einer klaren Rechtslage ausgegangen werden könne.</w:t>
      </w:r>
    </w:p>
    <w:p>
      <w:r>
        <w:rPr>
          <w:b/>
        </w:rPr>
        <w:t>E. 3.1</w:t>
      </w:r>
    </w:p>
    <w:p>
      <w:r>
        <w:t>Dagegen bringt der Beschwerdeführer vor, es bestünden klare tatsächliche und rechtliche Verhältnisse und der Vertrag sei zwischen den Parteien genau so zustande gekommen, wie der Inhalt des Vorvertrags gelautet habe. Dies begründet er damit, dass die Vorinstanz den Satz "Veränderungen beidseitig vorbehalten" falsch auslegt habe. Sie sei in Willkür verfallen, als sie darin einen Verhandlungsvorbehalt gesehen habe. Sodann hätten sich die Beschwerdegegner "rechtsmissbräuchlich im Sinne eines venire contra factum proprium" verhalten, als sie mit dem Abschluss des Vertrags zugewartet und die Frist verstreichen liessen. Dass die definitive Fassung in Schriftform vorbehalten worden sei, habe nur Ordnungsfunktion und ändere an der materiellen Rechtslage nichts. Die Feststellung der Vorinstanz, dass ein Vertrag nicht zustande gekommen sei, sei damit nicht haltbar.</w:t>
      </w:r>
    </w:p>
    <w:p>
      <w:r>
        <w:rPr>
          <w:b/>
        </w:rPr>
        <w:t>E. 3.2</w:t>
      </w:r>
    </w:p>
    <w:p>
      <w:r>
        <w:t>Zunächst ist entgegen der Auffassung des Beschwerdeführers festzuhalten, dass die Vorinstanz weder erwog, dass die Parteien einen Verhandlungsvorbehalt vereinbart haben, noch feststellte, dass zwischen den Parteien kein Mietvertrag zustande gekommen sei. Vielmehr liess die Vorinstanz beides ausdrücklich offen. Sie erwog lediglich, dass die Beschwerdegegner gegen den vom Beschwerdeführer behaupteten klaren Fall Einwendungen erhoben haben, die nicht zum vornherein als haltlos erscheinen würden, und damit die Voraussetzungen für den Rechtsschutz in klaren Fällen nach Art. 257 ZPO nicht gegeben seien. Sie hob daher den Entscheid der Erstinstanz auf und trat auf das Gesuch des Beschwerdeführers vom 12. August 2015 nicht ein. Zu entscheiden ist damit einzig, ob die Vorinstanz die Voraussetzungen für das Verfahren nach Art. 257 ZPO zu Recht verneint hat und daher auf das Gesuch des Beschwerdeführers nicht eingetreten ist. Diese Voraussetzungen hat die Vorinstanz zu Recht verneint: Der Beschwerdeführer begründet seinen Anspruch, dass der Mietvertrag zwischen ihm und den Beschwerdegegnern zustande gekommen sei, unter anderem damit, dass das Verhalten der Beschwerdegegner rechtsmissbräuchlich gewesen sei. Beruft sich der Beschwerdeführer für die Begründung seines Anspruchs auf das Rechtsmissbrauchsverbot nach Art. 2 ZGB , verlangt dies vom Gericht in der Rechtsanwendung eine wertende Betrachtung der gesamten Umstände des konkreten Einzelfalls. In diesen Fällen ist aber die Rechtslage in der Regel nicht klar im Sinne von Art. 257 Abs. 1 lit. b ZPO und somit der Rechtsschutz in klaren Fällen ausgeschlossen. Inwiefern das Verhalten der Beschwerdegegner offenkundig einen Rechtsmissbrauch darstellen würde, sodass ausnahmsweise eine klare Rechtslage im Sinne von Art. 257 Abs. 1 lit. b ZPO vorliegen würde, legt der Beschwerdeführer nicht hinreichend dar und ist auch nicht ersichtlich, zumal sich der Beschwerdeführer zur Begründung des Rechtsmissbrauchsvorwurfs ohne Erhebung von Sachverhaltsrügen nur auf Tatsachen beruft, die im vorinstanzlich festgestellten Sachverhalt keine Stütze finden und daher nicht zugrunde gelegt werden können. Es fehlt damit bereits an der Voraussetzung der klaren Rechtslage gemäss Art. 257 Abs. 1 lit. b ZPO . Ob auch ein Sachverhalt bestehen würde, der nicht sofort beweisbar wäre, wie dies die Vorinstanz erwog, braucht in diesem Fall nicht geprüft zu werden.</w:t>
      </w:r>
    </w:p>
    <w:p>
      <w:r>
        <w:rPr>
          <w:b/>
        </w:rPr>
        <w:t>E. 4</w:t>
      </w:r>
    </w:p>
    <w:p>
      <w:r>
        <w:t>Nach dem Ausgeführten ist die Beschwerde abzuweisen. Bei diesem Ausgang des Verfahrens wird der Beschwerdeführer kosten- und entschädigungspflichtig ( Art. 66 Abs. 1 und Art. 68 Abs. 1 BGG ). Mit Blick auf den geringen Aufwand für den vorliegenden Entscheid wird eine reduzierte Gerichtsgebühr erhoben. Den Beschwerdegegnern, die sich nur zum Gesuch um vorsorgliche Massnahmen zu äussern hatten, ist eine reduzierte Parteientschädigung für das bundesgerichtliche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