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2/2014 vom 19. Februar 2014</w:t>
      </w:r>
    </w:p>
    <w:p>
      <w:r>
        <w:t>Bundesgericht, 2014-02-19, FR</w:t>
      </w:r>
    </w:p>
    <w:p>
      <w:r>
        <w:rPr>
          <w:b/>
        </w:rPr>
        <w:t xml:space="preserve">Quelle: </w:t>
      </w:r>
      <w:r>
        <w:t>https://mcp.opencaselaw.ch/entscheid/bger_4A_2_2014</w:t>
      </w:r>
    </w:p>
    <w:p>
      <w:r>
        <w:t>FR: TF 4A 2/2014 du 19 février 2014</w:t>
      </w:r>
    </w:p>
    <w:p>
      <w:r>
        <w:t>IT: TF 4A 2/2014 del 19 febbraio 2014</w:t>
      </w:r>
    </w:p>
    <w:p>
      <w:pPr>
        <w:pStyle w:val="Heading2"/>
      </w:pPr>
      <w:r>
        <w:t>Regeste</w:t>
      </w:r>
    </w:p>
    <w:p>
      <w:r>
        <w:t>contrat de travail; licenciement abusif | Droit des contrats</w:t>
      </w:r>
    </w:p>
    <w:p>
      <w:pPr>
        <w:pStyle w:val="Heading2"/>
      </w:pPr>
      <w:r>
        <w:t>Erwägungen</w:t>
      </w:r>
    </w:p>
    <w:p>
      <w:r>
        <w:rPr>
          <w:b/>
        </w:rPr>
        <w:t>E. 1.1</w:t>
      </w:r>
    </w:p>
    <w:p>
      <w:r>
        <w:t>Interjeté par la partie qui a succombé dans ses conclusions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du droit du travail ( art. 74 al. 1 let. a LTF ), le recours est recevable, puisqu'il a été déposé dans le délai (art. 45 al. 1, 46 al. 1 let. c,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correction de l'état de fait ne peut être demandée que si elle est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correction de l'état de fait ne peut être demandée que si elle est susceptible d'influer sur le sort de la cause ( art. 97 al. 1 LTF ).</w:t>
      </w:r>
    </w:p>
    <w:p>
      <w:r>
        <w:rPr>
          <w:b/>
        </w:rPr>
        <w:t>E. 2</w:t>
      </w:r>
    </w:p>
    <w:p>
      <w:r>
        <w:t>La recourante soutient que l'autorité précédente a établi les faits de manière inexacte sur trois points. En premier lieu, elle lui reproche d'avoir faussement retenu qu'elle a eu connaissance du contenu du rapport d'expertise du docteur V.________ par courrier du psychiatre traitant de l'intimé du 21 mars 2012, alors que le tribunal de prud'hommes a établi que seule une page sortie de son contexte avait été communiquée par ce biais. Deuxièmement, elle indique qu'il n'existe aucune preuve propre à établir qu'elle ait disposé d'une place de travail susceptible d'accueillir l'employé ailleurs que dans le magasin de Vich. Troisièmement, selon la recourante, il était erroné de retenir que X.________ ait signé un contrat prévoyant son transfert à Vich puis tu son incapacité à travailler à cet endroit en raison de son affection psychique. Sur le premier point, la Cour d'appel a retenu à titre alternatif que Coopérative A.________ avait à tout le moins connaissance de l'existence du rapport d'expertise, ce que la recourante omet de contester. Or, comme on le verra plus loin (consid. 3.2), ce point fait partie de la motivation qui, aux yeux des précédents juges, suffisait à sceller le sort de la cause. Dès lors, il incombait à la recourante, sous peine d'irrecevabilité, de démontrer en quoi cette constatation alternative est manifestement inexacte (sur l'exigence posée par la jurisprudence en matière de motivation alternative: cf. ATF 133 IV 119 , consid. 6.3, p. 120-121). En ce qui concerne les deux autres points de fait ci-mentionnés, la recourante ne démontre pas non plus de manière suffisamment circonstanciée leur caractère prétendument erroné. La simple affirmation qu'un fait retenu est erroné ne satisfait pas à l'exigence de motivation. Par conséquent, les griefs dont il est ici question ne peuvent pas être examinés. On relèvera toutefois que le choix offert par l'employeuse à X.________, après la survenance de ses ennuis de santé, dénote une certaine capacité de rendre disponibles des places de travail idoines dans son entreprise. En outre, le courrier du psychiatre traitant à Coopérative A.________ du 21 mars 2012 atteste du lien entre une affection psychique et l'incapacité du demandeur de travailler au magasin de Vich.</w:t>
      </w:r>
    </w:p>
    <w:p>
      <w:r>
        <w:rPr>
          <w:b/>
        </w:rPr>
        <w:t>E. 3.1</w:t>
      </w:r>
    </w:p>
    <w:p>
      <w:r>
        <w:t>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 ATF 136 III 513 ibidem; 132 III 115 consid. 2 p. 116; 131 III 535 consid. 4 p. 537).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 ATF 130 III 699 consid. 4.1 p. 702/703). Lorsque l'une des parties a résilié abusivement le contrat, l' art. 336a al. 1 et 2 CO autorise l'autre partie à réclamer une indemnité dont le juge fixe librement le montant en tenant compte de toutes les circonstances; cette indemnité ne peut toutefois pas excéder l'équivalent de six mois de salaire. Selon l' art. 328 al. 1 CO , l'employeur protège et respecte, dans les rapports de travail, la personnalité du travailleur; en particulier, il manifeste les égards voulus par sa santé. L' art. 328 al. 2 CO précise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w:t>
      </w:r>
    </w:p>
    <w:p>
      <w:r>
        <w:rPr>
          <w:b/>
        </w:rPr>
        <w:t>E. 3.2</w:t>
      </w:r>
    </w:p>
    <w:p>
      <w:r>
        <w:t>En l'occurrence, la Cour d'appel a estimé que le congé en cause, bien qu'intervenu après la fin de la période de protection de l' art. 336c al. 1 let. b CO , est abusif au regard des art. 336 et suivants CO parce que donné par un employeur qui a violé le droit de son employé à la protection de sa personnalité. Selon l'autorité précédente, Coopérative A.________ était alors informée du contenu de l'expertise du docteur V.________ ou avait à tout le moins connaissance de son existence. Il lui appartenait dès lors d'interpeller cet expert sur les raisons pour lesquelles X.________ ne pouvait pas travailler à Vich. En ne le faisant pas et en choisissant plutôt de résilier le contrat de travail, l'employeuse n'a pas respecté son obligation de prendre les mesures adaptées aux conditions de l'exploitation pour protéger la santé du travailleur ( art. 328 al. 2 CO ). Comme elle était en mesure d'employer X.________ dans un autre magasin, on pouvait attendre de Coopérative A.________ qu'elle prenne en considération son trouble psychique, à tout le moins après s'être renseignée de manière plus approfondie. Peu importe que l'employé ait reçu antérieurement la possibilité de modifier sa situation professionnelle, qu'il ait signé un contrat prévoyant son transfert à Vich et qu'il n'ait évoqué que tardivement son impossibilité d'occuper ce poste, car son comportement est à mettre sur le compte de son atteinte psychique. Selon les précédents juges, le caractère abusif du congé tient à ce qu'il a été donné alors que le travailleur avait fait valoir de bonne foi des prétentions résultant du contrat de travail, à savoir qu'il demandait à être transféré dans un autre magasin.</w:t>
      </w:r>
    </w:p>
    <w:p>
      <w:r>
        <w:rPr>
          <w:b/>
        </w:rPr>
        <w:t>E. 3.3</w:t>
      </w:r>
    </w:p>
    <w:p>
      <w:r>
        <w:t>La recourante conteste longuement qu'il lui eût été possible d'obtenir de l'expert V.________ des renseignements sur les raisons de l'empêchement pour le demandeur de travailler au magasin de Vich. Elle n'attaque toutefois pas la motivation alternative de la Cour d'appel selon laquelle "on pouvait attendre de l'intimée (Coopérative A.________) qu'elle prenne en considération le trouble psychique dont souffrait son employé, à tout le moins après s'être renseignée de manière plus approfondie ". Par cette formule, les juges ont envisagé des moyens autres que la seule interpellation de l'expert médical, comme par exemple le recours à un médecin-conseil, admissible selon la jurisprudence ( ATF 125 III 70 , consid. 3c p. 76). Ici encore, le recours ne satisfait pas à l'exigence de motivation posée par la jurisprudence ( ATF 133 IV 119 , consid. 6.3, p. 120-121). De toute façon, ni le secret médical ni les règles sur la protection des données, que la recourante invoque, ne l'ont empêchée d'acquérir une connaissance sinon exhaustive, tout au moins approfondie du rapport d'expertise médicale, au point d'être en mesure d'y faire plusieurs références précises dans son mémoire. Dans la mesure où il est recevable, ce moyen est donc mal fondé.</w:t>
      </w:r>
    </w:p>
    <w:p>
      <w:r>
        <w:rPr>
          <w:b/>
        </w:rPr>
        <w:t>E. 3.4</w:t>
      </w:r>
    </w:p>
    <w:p>
      <w:r>
        <w:t>C'est aussi en vain que la recourante soutient que l'intimé est déchu de son droit de faire valoir des faits constitutifs d'une atteinte à la personnalité au motif qu'il n'en a pas informé l'employeuse. D'une part, selon les constatations de fait de l'autorité précédente, qui lient le Tribunal fédéral ( art. 105 al. 1 LTF ), c'est en raison des troubles psychiques dont il souffrait que l'employé n'a pas révélé aussitôt son incapacité à prendre son poste dans le magasin auquel il était affecté. D'autre part, il incombe à l'employeur de veiller à la santé du travailleur non seulement pendant les rapports de travail, mais aussi lors de leur rupture ( ATF 132 II 115 , commenté par Thomas Koller, RJB 144/2008 p. 342). En l'espèce, lors de la résiliation du contrat de travail, l'employeuse avait été informée des troubles de son employé, notamment par le psychiatre traitant.</w:t>
      </w:r>
    </w:p>
    <w:p>
      <w:r>
        <w:rPr>
          <w:b/>
        </w:rPr>
        <w:t>E. 4</w:t>
      </w:r>
    </w:p>
    <w:p>
      <w:r>
        <w:t>Le recours se révèle privé de fondement, dans la mesure où les griefs présentés sont recevables. A titre de partie qui succombe, son auteur doit acquitter l'émolument à percevoir par le Tribunal fédéral. L'intimé n'a pas été invité à répondre au recours, de sorte que l'instance ne lui a pas causé de frais significatifs; il ne lui sera donc pas alloué de dépens et il n'est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