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4A_29/2025 vom 3. Februar 2025</w:t>
      </w:r>
    </w:p>
    <w:p>
      <w:r>
        <w:t>Bundesgericht, 2025-02-03, FR</w:t>
      </w:r>
    </w:p>
    <w:p>
      <w:r>
        <w:rPr>
          <w:b/>
        </w:rPr>
        <w:t xml:space="preserve">Quelle: </w:t>
      </w:r>
      <w:r>
        <w:t>https://mcp.opencaselaw.ch/entscheid/bger_4A_29_2025</w:t>
      </w:r>
    </w:p>
    <w:p>
      <w:r>
        <w:t>FR: TF 4A_29/2025 du 3 février 2025</w:t>
      </w:r>
    </w:p>
    <w:p>
      <w:r>
        <w:t>IT: TF 4A_29/2025 del 3 febbraio 2025</w:t>
      </w:r>
    </w:p>
    <w:p>
      <w:pPr>
        <w:pStyle w:val="Heading2"/>
      </w:pPr>
      <w:r>
        <w:t>Erwägungen</w:t>
      </w:r>
    </w:p>
    <w:p>
      <w:r>
        <w:rPr>
          <w:b/>
        </w:rPr>
        <w:t>E. 1</w:t>
      </w:r>
    </w:p>
    <w:p>
      <w:r>
        <w:t>Par jugement du 18 mars 2024, le Tribunal des baux et loyers genevois a condamné solidairement A.________ et B.________ à payer à C.________ la somme de 13'900 fr. 05, intérêts en sus, et a ordonné la libération, en faveur de cette dernière, de la garantie de loyer constituée par les deux locataires.</w:t>
      </w:r>
    </w:p>
    <w:p>
      <w:r>
        <w:rPr>
          <w:b/>
        </w:rPr>
        <w:t>E. 2</w:t>
      </w:r>
    </w:p>
    <w:p>
      <w:r>
        <w:t>Statuant par arrêt du 19 novembre 2024, la Chambre des baux et loyers de la Cour de justice du canton de Genève a déclaré irrecevable l'appel formé par les locataires à l'encontre dudit jugement et rejeté celui interjeté par la bailleresse. Elle a notamment considéré que les conclusions prises par les locataires n'étaient pas formulées correctement et que leur mémoire ne respectait pas les exigences de motivation déduites de l'art. 311 al. 1 du Code de procédure civile suisse (CPC; RS 272).</w:t>
      </w:r>
    </w:p>
    <w:p>
      <w:r>
        <w:rPr>
          <w:b/>
        </w:rPr>
        <w:t>E. 3</w:t>
      </w:r>
    </w:p>
    <w:p>
      <w:r>
        <w:t>Le 22 janvier 2025, A.________ et B.________ (ci-après: les recourants) ont contesté cet arrêt auprès du Tribunal fédéral. La bailleresse et la cour cantonale n'ont pas été invitées à déposer une réponse.</w:t>
      </w:r>
    </w:p>
    <w:p>
      <w:r>
        <w:rPr>
          <w:b/>
        </w:rPr>
        <w:t>E. 4</w:t>
      </w:r>
    </w:p>
    <w:p>
      <w:r>
        <w:t>Le Tribunal fédéral examine d'office et librement la recevabilité des recours qui lui sont soumis ( ATF 145 I 239 consid. 2).</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satisfaites en l'occurrence. En effet, les recourants ne démontrent nullement en quoi la cour cantonale aurait enfreint le droit en déclarant irrecevable l'appel formé devant elle. Ils n'établissent ainsi pas que l'autorité précédente aurait éventuellement appliqué de manière incorrecte les exigences rattachées à l' art. 311 al. 1 CPC . Le présent recours est dès lors manifestement irrecevable ce qu'il convient de constater selon la procédure simplifiée prévue par l' art. 108 al. 1 let. b LTF .</w:t>
      </w:r>
    </w:p>
    <w:p>
      <w:r>
        <w:rPr>
          <w:b/>
        </w:rPr>
        <w:t>E. 5</w:t>
      </w:r>
    </w:p>
    <w:p>
      <w:r>
        <w:t>Les frais de la présente procédure seront mis solidairement à la charge des recourants, qui succombent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