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29/2013 vom 6. Juni 2013</w:t>
      </w:r>
    </w:p>
    <w:p>
      <w:r>
        <w:t>Bundesgericht, 2013-06-06, FR</w:t>
      </w:r>
    </w:p>
    <w:p>
      <w:r>
        <w:rPr>
          <w:b/>
        </w:rPr>
        <w:t xml:space="preserve">Quelle: </w:t>
      </w:r>
      <w:r>
        <w:t>https://mcp.opencaselaw.ch/entscheid/bger_4A_29_2013</w:t>
      </w:r>
    </w:p>
    <w:p>
      <w:r>
        <w:t>FR: TF 4A 29/2013 du 6 juin 2013</w:t>
      </w:r>
    </w:p>
    <w:p>
      <w:r>
        <w:t>IT: TF 4A 29/2013 del 6 giugno 2013</w:t>
      </w:r>
    </w:p>
    <w:p>
      <w:pPr>
        <w:pStyle w:val="Heading2"/>
      </w:pPr>
      <w:r>
        <w:t>Regeste</w:t>
      </w:r>
    </w:p>
    <w:p>
      <w:r>
        <w:t>enrichissement illégitime; prescription | Droit des contrats</w:t>
      </w:r>
    </w:p>
    <w:p>
      <w:pPr>
        <w:pStyle w:val="Heading2"/>
      </w:pPr>
      <w:r>
        <w:t>Erwägungen</w:t>
      </w:r>
    </w:p>
    <w:p>
      <w:r>
        <w:rPr>
          <w:b/>
        </w:rPr>
        <w:t>E. 1</w:t>
      </w:r>
    </w:p>
    <w:p>
      <w:r>
        <w:t>Les conditions de recevabilité du recours en matière civile sont satisfaites, notamment à raison de la valeur litigieuse.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138 I 171 consid. 1.4 p. 176; 134 I 83 consid. 3.2 p. 88; 134 II 244 consid. 2.2 p. 246). 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A titre principal, le demandeur agit sur la base de l' art. 97 al. 1 CO . Il réclame des dommages-intérêts pour cause d'inexécution de la convention sous seing privé passée au mois de juin 1999. La réparation doit porter sur la perte de valeur de la parcelle n° 9999, que le demandeur chiffre à 315'000 fr., et sur les frais d'avocat encourus avant le procès. A titre subsidiaire, sur la base de l' art. 62 CO , le demandeur réclame la restitution de l'enrichissement de la défenderesse, consécutif au transfert de droits de bâtir de la parcelle n° 9999 à celle n° 1111. L'enrichissement est également chiffré à 315'000 francs. La Cour de justice rejette la prétention en dommages-intérêts pour deux motifs. D'abord, le demandeur n'a pas qualité pour agir parce qu'il se trouve dans une relation de société simple avec B.________, et, par conséquent, dans les procès relatifs aux créances sociales, dans une relation de consorité nécessaire avec son associé. De plus, la convention de juin 1999 est nulle faute de satisfaire aux exigences de la forme authentique; cette convention n'obligeait donc pas la défenderesse. Enfin, la Cour juge que la prétention en restitution de l'enrichissement illégitime est atteinte par la prescription; elle la rejette pour ce motif.</w:t>
      </w:r>
    </w:p>
    <w:p>
      <w:r>
        <w:rPr>
          <w:b/>
        </w:rPr>
        <w:t>E. 3</w:t>
      </w:r>
    </w:p>
    <w:p>
      <w:r>
        <w:t>Il est indiscutable que dans la convention de juin 1999, la cession d'une surface de terrain d'environ 350 m² au prix de 745 fr. par m² est une vente d'immeuble aux termes de l' art. 216 al. 1 CO . La validité de cette vente est donc subordonnée à l'observation de la forme authentique.</w:t>
      </w:r>
    </w:p>
    <w:p>
      <w:r>
        <w:rPr>
          <w:b/>
        </w:rPr>
        <w:t>E. 3.1</w:t>
      </w:r>
    </w:p>
    <w:p>
      <w:r>
        <w:t>Selon la jurisprudence concernant l' art. 216 CO , la forme authentique doit porter sur tous les éléments objectivement essentiels du contrat, et aussi sur les points objectivement secondaires mais subjectivement essentiels, pour autant que ces derniers, de par leur nature, constituent un élément du contrat de vente; il s'agit de tous les éléments qui affectent le rapport entre la prestation et la contre-prestation issues de la vente. L'acte authentique doit donc énoncer toutes les contre-prestations promises en échange du bien immobilier. En cas de contrat mixte, cumulant la vente d'un immeuble et d'autres prestations du vendeur, il est loisible aux parties de convenir d'un prix global qui sera la contrepartie de ce bien et de ces autres prestations. Il faut alors que ces dernières soient également spécifiées dans l'acte authentique, car c'est à cette condition, seulement, que l'acte satisfait à l'exigence de l'indication exacte et complète de tous les éléments affectant le rapport entre les prestations qui incluent une vente d'immeuble, d'une part, et la contre-prestation d'autre part ( ATF 135 III 295 consid. 3.2 p. 299, avec références à d'autres arrêts). Dans la convention de juin 1999, la vente d'immeuble est combinée avec d'autres prestations réciproques des cocontractants, celles-ci consistant notamment dans la constitution ou la radiation de servitudes, et dans la création d'un chemin d'accès; l'acquéresse ne s'est pas seulement obligée à verser une somme d'argent. Les cocontractants ont passé une convention globale; ils n'ont pas envisagé de dissocier la vente d'immeuble des autres prestations réciproques convenues. Il n'existe pas de contrat distinct relatif à ces prestations, conclu conformément à l' art. 1er CO . La forme authentique n'étant pas observée, la Cour de justice retient à bon droit que la convention est nulle en vertu des art. 11 al. 2 et 216 al. 1 CO. Le demandeur tente inutilement de démontrer qu'une convention de transfert de droits de bâtir d'une parcelle à une autre parcelle, transfert admis, semble-t-il, par la législation genevoise sur les constructions, n'est pas subordonnée à l'observation de la forme authentique. De toute manière, la convention de juin 1999 n'a prévu aucun transfert de droit de bâtir, sinon par l'effet de la vente de terrain, et les parties n'ont conclu aucune convention séparée relative à un pareil transfert.</w:t>
      </w:r>
    </w:p>
    <w:p>
      <w:r>
        <w:rPr>
          <w:b/>
        </w:rPr>
        <w:t>E. 3.2</w:t>
      </w:r>
    </w:p>
    <w:p>
      <w:r>
        <w:t>Le demandeur invoque la jurisprudence selon laquelle il y a éventuellement abus de droit à demander la rescision d'un contrat en raison d'un vice de forme. L'abus entre notamment en considération lorsqu'une partie exécute le contrat, puis fait valoir sa nullité alors qu'elle l'a conclu en connaissance du vice de forme, voire même après avoir provoqué ce vice ( ATF 138 III 401 consid. 2.3.1 p. 404). La convention de juin 1999 porte notamment sur les frais d'un acte notarié futur; en raison de cette circonstance déjà, il est évident que toutes les parties connaissaient la nécessité d'observer la forme authentique pour une vente d'immeuble. Il ressort de la convention que les parties avaient pour projet commun de faire dresser un acte authentique valable. Le demandeur ne peut donc guère se prétendre surpris par le moyen de défense que son adverse partie tire actuellement de l' art. 216 al. 1 CO . Selon les constatations de la Cour de justice, dès fin mai 2002, la défenderesse a fait préparer un projet d'acte authentique destiné à l'exécution de la convention. Le demandeur et B.________ ont refusé de souscrire parce que le prix convenu leur paraissait désormais insuffisant. Dans ces constatations, rien ne dénote que la défenderesse ait elle-même, par un comportement abusif, empêché les parties d'aboutir à un contrat formellement valable. Aucun abus de droit ne lui est donc imputable.</w:t>
      </w:r>
    </w:p>
    <w:p>
      <w:r>
        <w:rPr>
          <w:b/>
        </w:rPr>
        <w:t>E. 3.3</w:t>
      </w:r>
    </w:p>
    <w:p>
      <w:r>
        <w:t>La convention étant nulle, elle n'obligeait la défenderesse à aucune prestation. Il s'ensuit que cette partie n'encourt aucune responsabilité pour cause d'inexécution. Il n'est pas nécessaire d'examiner si dans le cas contraire, le demandeur aurait eu qualité pour agir seul, sans le concours de B.________.</w:t>
      </w:r>
    </w:p>
    <w:p>
      <w:r>
        <w:rPr>
          <w:b/>
        </w:rPr>
        <w:t>E. 4</w:t>
      </w:r>
    </w:p>
    <w:p>
      <w:r>
        <w:t>A teneur de l' art. 67 al. 1 CO , l'action pour cause d'enrichissement illégitime se prescrit par un an à compter du jour où la partie lésée a eu connaissance de son droit de répétition. Le lésé est tenu pour informé de son droit dès le moment où il connaît approximativement l'ampleur de son appauvrissement, l'inexistence de la cause du déplacement patrimonial et l'identité de l'enrichi ( ATF 129 III 503 consid. 3.4 p. 505). Selon la Cour de justice, l'action appartenant au demandeur s'est prescrite dès que celui-ci a connu, au début de 2003, l'inscription d'une mention au registre foncier destinée à grever la parcelle n° 9999. Cela n'est pas contesté par le demandeur. Celui-ci ne met pas non plus en doute que le délai d'une année s'est ensuite écoulé sans subir aucune interruption. Ici également, le demandeur invoque la jurisprudence concernant l'abus de droit. Alors même que la prescription est a priori acquise au débiteur, le juge doit rejeter l'exception correspondante lorsque ledit débiteur a astucieusement détourné le créancier d'agir en temps utile. L'exception doit également être rejetée lorsque le débiteur, sans intention maligne, a par son comportement incité le créancier à ne pas entreprendre de démarches juridiques pendant le délai de prescription. Le comportement du débiteur doit se trouver en relation de causalité avec le retard à agir du créancier, et ce retard doit apparaître compréhensible à l'issue d'une appréciation raisonnable et fondée sur des critères objectifs ( ATF 131 III 430 consid. 2 p. 437). En l'occurrence, le demandeur affirme que les parties sont demeurées en pourparlers jusque peu avant sa réquisition de poursuite du 30 novembre 2006, dans l'intention de trouver un accord au sujet d'une contrepartie au transfert des droits de bâtir. Il fait grief à la Cour de justice de n'avoir pas constaté ce fait alors qu'il l'avait allégué dans sa demande en justice et que la défenderesse l'a admis dans sa réponse. Cette argumentation est inconsistante car les négociations relatives à une créance n'entraînent pas de suspension de la prescription ( PascalPichonnaz, in Commentaire romand, n° 20 ad art. 134 CO ). Le demandeur ne prétend pas que son adverse partie, plutôt que de négocier sérieusement et loyalement, ait feint de poursuivre les négociations afin d'assoupir sa vigilance et de le retenir de faire valoir ses droits en temps utile. Il ne prétend pas non plus que le comportement ou les déclarations de la défenderesse aient pu d'une autre manière le dissuader d'entreprendre une poursuite ou d'agir en justice. Ainsi, le demandeur ne parvient pas à mettre en évidence une application incorrecte de l' art. 67 al. 1 CO . Il ne met pas non plus en évidence, dans les constatations de fait de la juridiction cantonale, une lacune susceptible d'influer sur le sort de la cause.</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