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4A_299/2024 vom 27. Juni 2024</w:t>
      </w:r>
    </w:p>
    <w:p>
      <w:r>
        <w:t>Bundesgericht, 2024-06-27, FR</w:t>
      </w:r>
    </w:p>
    <w:p>
      <w:r>
        <w:rPr>
          <w:b/>
        </w:rPr>
        <w:t xml:space="preserve">Quelle: </w:t>
      </w:r>
      <w:r>
        <w:t>https://mcp.opencaselaw.ch/entscheid/bger_4A_299_2024</w:t>
      </w:r>
    </w:p>
    <w:p>
      <w:r>
        <w:t>FR: TF 4A_299/2024 du 27 juin 2024</w:t>
      </w:r>
    </w:p>
    <w:p>
      <w:r>
        <w:t>IT: TF 4A_299/2024 del 27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intimé.</w:t>
      </w:r>
    </w:p>
    <w:p>
      <w:r>
        <w:t>Objet</w:t>
      </w:r>
    </w:p>
    <w:p>
      <w:r>
        <w:t>Contrat de bail; retrait du recours,</w:t>
      </w:r>
    </w:p>
    <w:p>
      <w:r>
        <w:t>recours contre l'arrêt du Tribunal cantonal du canton de Vaud, Cour d'appel civile, du 11 avril 2024 (JL23.047181-240116, 157).</w:t>
      </w:r>
    </w:p>
    <w:p>
      <w:r>
        <w:t>Vu le recours en matière civile formé le 21 mai 2024 par A.________ et B.________ (recourants) contre l'arrêt rendu le 11 avril 2024 par le Tribunal cantonal du canton de Vaud, Cour d'appel civile,</w:t>
      </w:r>
    </w:p>
    <w:p>
      <w:r>
        <w:t>Vu la lettre du 24 juin 2024 par laquelle les recourants déclarent retirer leur recours;</w:t>
      </w:r>
    </w:p>
    <w:p>
      <w:r>
        <w:t>Considérant qu'il y a lieu de prendre acte de ce retrait et de rayer la cause 4A_299/2024 du rôle;</w:t>
      </w:r>
    </w:p>
    <w:p>
      <w:r>
        <w:t>Vu l' art. 66 al. 1, 2 et 5 LTF concernant les frais;</w:t>
      </w:r>
    </w:p>
    <w:p>
      <w:r>
        <w:t>Considérant qu'il n'y a pas lieu d'allouer de dépens, vu l' art. 68 LTF ;</w:t>
      </w:r>
    </w:p>
    <w:p>
      <w:r>
        <w:t>Vu l' art. 32 al. 2 LTF 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