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299/2020 vom 21. September 2021</w:t>
      </w:r>
    </w:p>
    <w:p>
      <w:r>
        <w:t>Bundesgericht, 2021-09-21, IT</w:t>
      </w:r>
    </w:p>
    <w:p>
      <w:r>
        <w:rPr>
          <w:b/>
        </w:rPr>
        <w:t xml:space="preserve">Quelle: </w:t>
      </w:r>
      <w:r>
        <w:t>https://mcp.opencaselaw.ch/entscheid/bger_4A_299_2020</w:t>
      </w:r>
    </w:p>
    <w:p>
      <w:r>
        <w:t>FR: TF 4A 299/2020 du 21 septembre 2021</w:t>
      </w:r>
    </w:p>
    <w:p>
      <w:r>
        <w:t>IT: TF 4A 299/2020 del 21 settembre 2021</w:t>
      </w:r>
    </w:p>
    <w:p>
      <w:pPr>
        <w:pStyle w:val="Heading2"/>
      </w:pPr>
      <w:r>
        <w:t>Regeste</w:t>
      </w:r>
    </w:p>
    <w:p>
      <w:r>
        <w:t>contratto di promozione, | Diritto contrattuale</w:t>
      </w:r>
    </w:p>
    <w:p>
      <w:pPr>
        <w:pStyle w:val="Heading2"/>
      </w:pPr>
      <w:r>
        <w:t>Erwägungen</w:t>
      </w:r>
    </w:p>
    <w:p>
      <w:r>
        <w:rPr>
          <w:b/>
        </w:rPr>
        <w:t>E. 6</w:t>
      </w:r>
    </w:p>
    <w:p>
      <w:r>
        <w:t>Atteso che la motivazione dei giudici cantonali secondo cui la ricorrente non aveva diritto a un compenso in virtù del contratto dell'11 marzo 1999, non viola il diritto federale, risulta superfluo esaminare le censure rivolte contro l'ammissibilità della disdetta immediata del contratto significata dall'opponente alla ricorrente (violazione dell' art. 418r CO ) e contro l'ammontare delle commissioni.</w:t>
      </w:r>
    </w:p>
    <w:p>
      <w:r>
        <w:rPr>
          <w:b/>
        </w:rPr>
        <w:t>E. 7</w:t>
      </w:r>
    </w:p>
    <w:p>
      <w:r>
        <w:t>In conclusione il ricorso, nella misura in cui si rivela ammissibile, si 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