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298/2023 vom 24. Juli 2023</w:t>
      </w:r>
    </w:p>
    <w:p>
      <w:r>
        <w:t>Bundesgericht, 2023-07-24, DE</w:t>
      </w:r>
    </w:p>
    <w:p>
      <w:r>
        <w:rPr>
          <w:b/>
        </w:rPr>
        <w:t xml:space="preserve">Quelle: </w:t>
      </w:r>
      <w:r>
        <w:t>https://mcp.opencaselaw.ch/entscheid/bger_4A_298_2023</w:t>
      </w:r>
    </w:p>
    <w:p>
      <w:r>
        <w:t>FR: TF 4A 298/2023 du 24 juillet 2023</w:t>
      </w:r>
    </w:p>
    <w:p>
      <w:r>
        <w:t>IT: TF 4A 298/2023 del 24 luglio 2023</w:t>
      </w:r>
    </w:p>
    <w:p>
      <w:pPr>
        <w:pStyle w:val="Heading2"/>
      </w:pPr>
      <w:r>
        <w:t>Regeste</w:t>
      </w:r>
    </w:p>
    <w:p>
      <w:r>
        <w:t>Kontokorrentvertrag, | Vertragsrecht</w:t>
      </w:r>
    </w:p>
    <w:p>
      <w:pPr>
        <w:pStyle w:val="Heading2"/>
      </w:pPr>
      <w:r>
        <w:t>Erwägungen</w:t>
      </w:r>
    </w:p>
    <w:p>
      <w:r>
        <w:rPr>
          <w:b/>
        </w:rPr>
        <w:t>E. 1</w:t>
      </w:r>
    </w:p>
    <w:p>
      <w:r>
        <w:t>Mit Entscheid vom 1. Mai 2023 verurteilte das Handelsgericht des Kantons Bern die Beschwerdeführerin, der Beschwerdegegnerin Fr. 41'378.90 nebst Zins zu 9 % seit 1. Juli 2022 zu bezahlen. Zudem beseitigte es den Rechtsvorschlag in der Betreibung Nr. xxx des Betreibungsamts Z.________ im erwähnten Umfang. Mit Eingabe vom 5. Juni 2023 erklärte die Beschwerdeführerin dem Bundesgericht, den Entscheid des Handelsgerichts des Kantons Bern vom 1. Mai 2023 mit Beschwerde anfechten zu wollen. Mit Eingabe vom 29. Juni 2023 beantragte sie, es sei ihr für das bundesgerichtliche Verfahren die unentgeltliche Rechtspflege zu gewähren.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5. Juni 2023 nicht hinreichend mit den Erwägungen des angefochtenen Entscheids des Handelsgerichts des Kantons Bern vom 1. Mai 2023 auseinander, sondern unterbreitet dem Bundesgericht in unzulässiger Weise ihre eigene Sicht der Dinge zum Verfahrensablauf wie auch zu den Hintergründen des Rechtsstreits. So behauptet sie etwa, bei der im angefochtenen Entscheid festgestellen Nichtzustellung der handelsgerichtlichen Verfügung vom 15. März 2023 mit dem Vermerk "Annahme verweigert" handle es sich um einen Zustellungsfehler der Post, ohne dies jedoch weiter zu belegen. Zudem behauptet sie unter Hinweis auf verschiedene dem Bundesgericht eingereichte Beilagen, es sei eine Stundung erfolgt, setzt sich jedoch in keiner Weise mit der vorinstanzlichen Erwägung auseinander, wonach sie im handelsgerichtlichen Verfahren keine Unterlagen eingereicht habe, die eine Stundung belegen würden und auch keine näheren Ausführungen dazu gemacht. Auf die Beschwerde ist somit mangels hinreichender Begründung nicht einzutreten ( Art. 108 Abs. 1 lit. b BGG ).</w:t>
      </w:r>
    </w:p>
    <w:p>
      <w:r>
        <w:rPr>
          <w:b/>
        </w:rPr>
        <w:t>E. 3</w:t>
      </w:r>
    </w:p>
    <w:p>
      <w:r>
        <w:t>Das Gesuch um unentgeltliche Rechtspflege für das bundesgerichtliche Verfahren ist bereits wegen Aussichtslosigkeit der Beschwerde abzuweisen ( Art. 64 Abs. 1 BGG ), weshalb nicht geprüft werden muss, ob ein Ausnahmefall für die Gewährung der unentgeltlichen Rechtspflege an eine juristische Person in Betracht käme (dazu BGE 143 I 328 E. 3 mit Hinweisen). Die Beschwerdeführerin wird bei diesem Verfahrensausgang kostenpflichtig ( Art. 66 Abs. 1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