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298/2013 vom 3. September 2013</w:t>
      </w:r>
    </w:p>
    <w:p>
      <w:r>
        <w:t>Bundesgericht, 2013-09-03, FR</w:t>
      </w:r>
    </w:p>
    <w:p>
      <w:r>
        <w:rPr>
          <w:b/>
        </w:rPr>
        <w:t xml:space="preserve">Quelle: </w:t>
      </w:r>
      <w:r>
        <w:t>https://mcp.opencaselaw.ch/entscheid/bger_4A_298_2013</w:t>
      </w:r>
    </w:p>
    <w:p>
      <w:r>
        <w:t>FR: TF 4A 298/2013 du 3 septembre 2013</w:t>
      </w:r>
    </w:p>
    <w:p>
      <w:r>
        <w:t>IT: TF 4A 298/2013 del 3 settembre 2013</w:t>
      </w:r>
    </w:p>
    <w:p>
      <w:pPr>
        <w:pStyle w:val="Heading2"/>
      </w:pPr>
      <w:r>
        <w:t>Regeste</w:t>
      </w:r>
    </w:p>
    <w:p>
      <w:r>
        <w:t>exécution forcée d'un jugement | Propriété intellectuelle, concurrence et cartels</w:t>
      </w:r>
    </w:p>
    <w:p>
      <w:pPr>
        <w:pStyle w:val="Heading2"/>
      </w:pPr>
      <w:r>
        <w:t>Erwägungen</w:t>
      </w:r>
    </w:p>
    <w:p>
      <w:r>
        <w:rPr>
          <w:b/>
        </w:rPr>
        <w:t>E. 1.1</w:t>
      </w:r>
    </w:p>
    <w:p>
      <w:r>
        <w:t>Interjeté par la partie qui s'est opposée sans succès, pour l'essentiel, à la requête d'exécution d'un jugement la concernant ( art. 76 al. 1 LTF ) et dirigé contre une décision finale ( art. 90 LTF ), relative à l'exécution forcée d'un jugement de nature civile (art. 72 al. 2 let. b ch. 1 LTF), rendue par une autorité cantonale de dernière instance ( art. 75 al. 1 LTF ) dans une affaire dont la valeur litigieuse atteint le seuil prescrit ( art. 74 al. 1 let. b LTF ), le présent recours en matière civile est recevable puisqu'il a été déposé dans le délai ( art. 100 al. 1 LTF ) et la forme ( art. 42 LTF ) prévus par la loi.</w:t>
      </w:r>
    </w:p>
    <w:p>
      <w:r>
        <w:rPr>
          <w:b/>
        </w:rPr>
        <w:t>E. 1.2</w:t>
      </w:r>
    </w:p>
    <w:p>
      <w:r>
        <w:t>Le recours est ouvert pour violation du droit fédéral ( art. 95 let. a LTF ). Le Tribunal fédéral applique ce droit d'office ( art. 106 al. 1 LTF ). Il n'est pas lié par l'argumentation des parties, apprécie librement la portée juridique des faits, mais s'en tient, d'ordinaire, aux questions juridiques soulevées dans le mémoire de recours ( art. 42 al. 2 LTF ; ATF 135 III 397 consid. 1.4 p. 400; 133 II 249 consid. 1.4.1 p. 254); il ne se prononce sur la violation de droits fondamentaux que si le grief correspondant a été invoqué et motivé par le recourant ( art. 106 al. 2 LTF ; ATF 134 I 83 consid. 3.2 p. 88; 134 II 244 consid. 2.2 p. 246; 133 II 249 consid. 1.4.2). 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 sens de l' art. 9 Cst. ( ATF 133 II 249 consid. 1.1.2 p. 252), ou établies en violation du droit ( art. 105 al. 2 LTF ). La partie recourante est autorisée à attaquer les constatations de fait ainsi viciées si la correction du vice est susceptible d'influer sur le sort de la cause ( art. 97 al. 1 LTF ).</w:t>
      </w:r>
    </w:p>
    <w:p>
      <w:r>
        <w:rPr>
          <w:b/>
        </w:rPr>
        <w:t>E. 2.1</w:t>
      </w:r>
    </w:p>
    <w:p>
      <w:r>
        <w:t>Dans un premier moyen, intitulé "Droit d'être entendu et procédure applicable", la recourante reproche aux juges précédents d'avoir rendu sa décision en procédure sommaire. A son avis, la nouvelle demande d'exécution du même jugement aurait dû être traitée selon la procédure ordinaire, dès lors que ledit jugement avait été correctement exécuté. En tout état de cause, les conditions d'application de la procédure des cas clairs, au sens de l' art. 257 CPC , ne seraient pas réalisées en l'espèce.</w:t>
      </w:r>
    </w:p>
    <w:p>
      <w:r>
        <w:rPr>
          <w:b/>
        </w:rPr>
        <w:t>E. 2.2</w:t>
      </w:r>
    </w:p>
    <w:p>
      <w:r>
        <w:t>Le moyen soulevé tombe à faux, si tant est que sa motivation peu claire puisse être considérée comme suffisante. C'est le lieu de rappeler que le droit d'être entendu garanti par l' art. 29 al. 2 Cst. accorde aux parties la faculté de s'expliquer avant qu'une décision ne soit prise à leur détriment, de fournir des preuves quant aux faits de nature à influer sur la décision, d'avoir accès au dossier, de participer à l'administration des preuves et de se déterminer à leur propos ( ATF 136 I 265 consid. 3.2 p. 272; 135 II 286 consid. 5.1 p. 293; 129 II 497 consid. 2.2 p. 504). La recourante n'indique pas lequel de ces différents éléments constitutifs de la garantie constitutionnelle invoquée aurait été méconnu en l'occurrence, ni en quoi il l'aurait été. En vertu de l' art. 106 al. 2 LTF , la Cour de céans ne saurait examiner d'office cette question. Quoi qu'il en soit, la recourante se plaint à tort de n'avoir pas eu la possibilité de faire valoir son point de vue dans le cadre plus étendu de la procédure ordinaire des art. 219 ss CPC . En effet, comme l'autorité intimée le lui a déjà expliqué au consid. 1 de sa décision susmentionnée du 8 novembre 2011, l'applicabilité de la procédure sommaire ne découle pas du fait que la requête d'exécution aurait prétendument été fondée sur la disposition régissant les cas clairs ( art. 257 al. 1 CPC ), mais de l' art. 339 al. 2 CPC , qui prescrit au tribunal de rendre sa décision touchant les mesures d'exécution en procédure sommaire et constitue l'une des exceptions légales à l'application de la procédure ordinaire (cf. art. 219 i.f. CPC).</w:t>
      </w:r>
    </w:p>
    <w:p>
      <w:r>
        <w:rPr>
          <w:b/>
        </w:rPr>
        <w:t>E. 3</w:t>
      </w:r>
    </w:p>
    <w:p>
      <w:r>
        <w:t>L' art. 341 al. 3 CPC dispose, notamment, que, sur le fond, la partie succombante peut uniquement alléguer que des faits s'opposant à l'exécution de la décision se sont produits après la notification de celle-ci, par exemple l'extinction, le sursis, la prescription ou la péremption de la prestation due. Se référant à cette disposition, la Cour civile a dénié à la recourante le droit de remettre en cause la question du caractère fallacieux de la dénomination "centre Y.________", semblable caractère ayant été reconnu par le jugement au fond du 1er février 2010 qui bénéficie de l'autorité de la chose jugée. Elle l'a fait à juste titre sur le vu du texte de la disposition citée. Partant, la tentative de la recourante de revenir indirectement sur ce qui a été jugé dans la procédure au fond par le biais d'objections matérielles soulevées dans la procédure d'exécution est d'emblée vouée à l'échec, d'autant qu'elle s'appuie en partie sur des allégations de fait et des preuves nouvelles ( art. 99 al. 1 LTF ). Pour le surplus, les considérations émises par les juges précédents en rapport avec la jurisprudence topique du Tribunal fédéral ( ATF 128 III 146 ) sont tout à fait pertinentes, quoi qu'en dise la recourante, si bien qu'il peut y être renvoyé conformément à l' art. 109 al. 3 LTF .</w:t>
      </w:r>
    </w:p>
    <w:p>
      <w:r>
        <w:rPr>
          <w:b/>
        </w:rPr>
        <w:t>E. 4</w:t>
      </w:r>
    </w:p>
    <w:p>
      <w:r>
        <w:t>Enfin, comme les juges précédents ont ordonné l'exécution du jugement du 1er février 2010 en respectant les règles de procédure ad hoc ( art. 335 ss CPC ), la recourante leur fait grief en pure perte d'avoir porté atteinte à sa liberté économique garantie par l' art. 27 Cst.</w:t>
      </w:r>
    </w:p>
    <w:p>
      <w:r>
        <w:rPr>
          <w:b/>
        </w:rPr>
        <w:t>E. 5</w:t>
      </w:r>
    </w:p>
    <w:p>
      <w:r>
        <w:t>Le présent recours, qui confine à la témérité, ne peut, dès lors, qu'être rejeté dans la mesure où il est recevable. La demande d'effet suspensif dont il était assorti devient ainsi sans objet. En conséquence, la recourante, qui succombe, devra payer les frais de la procédure fédérale ( art. 66 al. 1 LTF ) et indemniser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