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298/2011 vom 6. Oktober 2011</w:t>
      </w:r>
    </w:p>
    <w:p>
      <w:r>
        <w:t>Bundesgericht, 2011-10-06, DE</w:t>
      </w:r>
    </w:p>
    <w:p>
      <w:r>
        <w:rPr>
          <w:b/>
        </w:rPr>
        <w:t xml:space="preserve">Quelle: </w:t>
      </w:r>
      <w:r>
        <w:t>https://mcp.opencaselaw.ch/entscheid/bger_4A_298_2011</w:t>
      </w:r>
    </w:p>
    <w:p>
      <w:r>
        <w:t>FR: TF 4A 298/2011 du 6 octobre 2011</w:t>
      </w:r>
    </w:p>
    <w:p>
      <w:r>
        <w:t>IT: TF 4A 298/2011 del 6 ottobre 2011</w:t>
      </w:r>
    </w:p>
    <w:p>
      <w:pPr>
        <w:pStyle w:val="Heading2"/>
      </w:pPr>
      <w:r>
        <w:t>Regeste</w:t>
      </w:r>
    </w:p>
    <w:p>
      <w:r>
        <w:t>Arbeitsvertrag | Vertragsrecht</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 Sodann übersteigt der Streitwert von EUR 149'615.18 die Grenze nach Art. 74 Abs. 1 lit. a BGG . Da auch die übrigen Sachurteilsvoraussetzungen erfüllt sind, ist auf die Beschwerde einzutreten.</w:t>
      </w:r>
    </w:p>
    <w:p>
      <w:r>
        <w:rPr>
          <w:b/>
        </w:rPr>
        <w:t>E. 2</w:t>
      </w:r>
    </w:p>
    <w:p>
      <w:r>
        <w:t>Nach Art. 337 OR kann der Arbeitgeber wie der Arbeitnehmer das Arbeitsverhältnis aus wichtigen Gründen jederzeit fristlos auflösen.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 BGE 130 III 28 E. 4.1 S. 31, 213 E. 3.1 S. 220 f.; 129 III 380 E. 2.1 S. 382 mit Hinweisen). Die Treuepflicht des Arbeitnehmers ( Art. 321a Abs. 1 OR ) gilt für leitende Angestellte in erhöhtem Masse, weshalb eine Verletzung dieser Pflicht durch solche Angestellte schwerer wiegt ( BGE 130 III 28 E. 4.1 S. 31; 104 II 28 E. 1 S. 29 f.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3</w:t>
      </w:r>
    </w:p>
    <w:p>
      <w:r>
        <w:t>Vorliegend war zu prüfen, ob die im Kündigungsschreiben vom 21. Juli 2009 vorgebrachten Gründe die fristlose Entlassung zu rechtfertigen vermochten.</w:t>
      </w:r>
    </w:p>
    <w:p>
      <w:r>
        <w:rPr>
          <w:b/>
        </w:rPr>
        <w:t>E. 3.1</w:t>
      </w:r>
    </w:p>
    <w:p>
      <w:r>
        <w:t>Die von der Beschwerdeführerin in der Klageantwort und an der erstinstanzlichen Gerichtsverhandlung genannten weiteren Gründe konnten nicht berücksichtigt werden, weil die Beschwerdeführerin nach dem vorliegend noch anwendbaren freiburgischen Zivilprozessrecht infolge nicht fristgerechter Bezahlung des Kostenvorschusses nicht befugt war, den durch die klägerischen Tatsachenbehauptungen begrenzten Streitgegenstand durch neue Tatsachenbehauptungen auszudehnen und hierzu Beweisanträge zu stellen; eine willkürliche Anwendung des kantonalen Verfahrensrechts rügt die Beschwerdeführerin insoweit nicht. Dementsprechend lehnte das Zivilgericht die Anhörung der Zeugen B. Y.________ und C.________ ab, welche die Beschwerdeführerin zum im Kündigungsschreiben vom 19. Juli 2009 nicht erwähnten Vorwurf angerufen hatte, der Beschwerdegegner habe der Firma Y.________ Insiderinformationen weitergegeben. Dieses Vorgehen des Zivilgerichts wurde von der Vorinstanz für richtig beurteilt und nicht beanstandet. Die Beschwerdeführerin rügt die Ablehnung der beantragten Zeugenbefragung indes als Verletzung des rechtlichen Gehörs. Zu Unrecht. Sie brachte diese Beweisanträge nicht prozesskonform ein, sondern war mit ihnen zufolge ihrer Säumnis ausgeschlossen. Die Nichtabnahme dieser Beweisanträge stellt daher keine Verletzung des Gehörsanspruchs dar (vgl. BGE 136 I 184 E. 2.2.1 S. 188). Das Zivilgericht prüfte den Vorwurf der Weitergabe von Internas zu finanziellen Belangen trotzdem und verwarf ihn schliesslich. Es hielt es nicht einmal für erwiesen, dass der Beschwerdegegner Einblick in die finanziellen Verhältnisse der Beschwerdeführerin gehabt habe. Auch begründete es eingehend, weshalb es nicht ungewöhnlich gewesen sei, dass der Beschwerdegegner noch Kontakt zu der Firma Y.________ gehabt habe. Darin liege jedenfalls kein wichtiger Grund für eine fristlose Kündigung. Die Vorinstanz sah keinen Anlass für eine andere Beurteilung, zumal sich die Beschwerdeführerin mit der Begründung des Zivilgerichts nicht auseinandergesetzt habe und ihre Ausführungen den Anforderungen an die Begründung einer Berufung nach dem Zivilprozessrecht des Kantons Freiburg nicht genügten. Die Beschwerdeführerin widerspricht dem und zitiert Ausführungen in ihrer Berufungsbegründung. Die Lektüre derselben bestätigt indessen die Beurteilung der Vorinstanz, dass sich die Beschwerdeführerin über weite Strecken damit begnügte, ihre Sicht der Dinge erneut vorzutragen, nicht aber konkret auf die zivilgerichtliche Begründung einging. Es kann der Vorinstanz daher nicht vorgeworfen werden, sich mit diesen Ausführungen in der Berufungsbegründung nicht näher auseinandergesetzt zu haben. Eine Verletzung des rechtlichen Gehörs liegt auch in dieser Hinsicht nicht vor. Nicht zu helfen vermögen der Beschwerdeführerin ihre Erörterungen, mit denen sie darauf beharrt, dass der Beschwerdegegner interne Informationen an B. Y.________ weitergegeben habe und dass darin ein wichtiger Grund für eine fristlose Kündigung liege. Dieser Vorwurf ist laut Zivilgericht, dessen Würdigung die Vorinstanz nicht beanstandete, nicht erstellt und die Beschwerdeführerin vermag diese Feststellung nicht als willkürlich auszuweisen. Ist der Vorwurf aber nicht erstellt, muss auch nicht geprüft werden, ob darin ein wichtiger Grund im Sinne von Art. 337 OR zu erblicken wäre. Schliesslich ist nochmals zu erwähnen, dass der Vorwurf bereits aus prozessualen Gründen ohnehin nicht berücksichtigt werden konnte.</w:t>
      </w:r>
    </w:p>
    <w:p>
      <w:r>
        <w:rPr>
          <w:b/>
        </w:rPr>
        <w:t>E. 3.2</w:t>
      </w:r>
    </w:p>
    <w:p>
      <w:r>
        <w:t>Zum im Kündigungsschreiben genannten Hauptvorwurf, nämlich der Äusserung des Beschwerdegegners, er werde das von ihm entwickelte Z.________-System so oder so weiterverfolgen, ob mit oder ohne die Beschwerdeführerin, hielt das Zivilgericht fest, es könne offen bleiben, ob die Organe der Beschwerdeführerin diese (unbestrittene) Aussage ihres Geschäftsführers tatsächlich oder willentlich falsch verstanden hätten, um eine fristlose Kündigung aussprechen zu können. Der Beschwerdegegner habe dem Zivilgericht erläutert, wie diese Aussage zu verstehen sei, nämlich dass er das Konzept Z.________ im alten oder im neuen System durchziehen werde, aber jedenfalls mit der Beschwerdeführerin. Bei dieser Interpretation sei kein Grund erkennbar, der eine fristlose Kündigung rechtfertigen würde. Umso weniger, als es der Beschwerdeführerin ohne weiteres möglich und zumutbar gewesen wäre, beim Beschwerdegegner nachzufragen, wie die an der Besprechung vom 17. Juli 2009 gemachte Äusserung zu verstehen sei. Gemäss der Vorinstanz ist dieser Schluss nicht zu beanstanden. Die Beschwerdeführerin kann dieser Argumentation nicht folgen. Es sei unbestritten, dass der Beschwerdegegner als CEO sich gegenüber dem Verwaltungsrat dahingehend geäussert habe, er werde das Konzept Z.________ mit oder ohne die Beschwerdeführerin weiterverfolgen. Die Beschwerdeführerin habe somit - insbesondere auch unter Berücksichtigung der ihr zugetragenen Information, dass der Beschwerdegegner Internas an B. Y.________ weitergegeben habe - die Loyalität des Beschwerdegegners in Zweifel ziehen müssen. Da der Beschwerdegegner CEO gewesen sei, handle es sich um einen wichtigen Grund im Sinne von Art. 337 OR , und es habe ihr nicht zugemutet werden können, das Arbeitsverhältnis fortzusetzen. Indem die Vorinstanz dies verneine, verletze sie Bundesrecht. Diese Vorbringen erheischen keine andere Beurteilung. Nach den verbindlichen Feststellungen der Vorinstanz erläuterte der Beschwerdegegner die beanstandete Äusserung an der erstinstanzlichen Sitzung dahingehend, dass er das Konzept Z.________ im alten oder im neuen System durchziehen wollte, aber jedenfalls mit der Beschwerdeführerin. Die Äusserung war demnach nicht in dem Sinn gemeint, dass der Beschwerdegegner das Konzept Z.________ unter Umständen auch losgelöst von der Beschwerdeführerin realisieren wollte. Zwar trifft es zu, dass der Wortlaut der Äusserung dieses Verständnis nicht nahelegt. Es kann der Vorinstanz aber beigepflichtet werden, wenn sie der Beschwerdeführerin zumutete, zuerst beim Beschwerdegegner nachzufragen, wie er seine Aussage meine, anstatt wegen dieser aus dem Zusammenhang gerissenen Äusserung ohne weiteres eine fristlose Kündigung auszusprechen. Nach ihren Ausführungen in der Beschwerde sollen der Beschwerdeführerin denn auch nicht allein schon wegen dieser Äusserung Zweifel an der Loyalität des Beschwerdegegners gekommen sein, sondern insbesondere auch unter Berücksichtigung der ihr zugetragenen Information, dass der Beschwerdegegner Internas an B. Y.________ weitergegeben habe. Letzterer Umstand hat sich aber nicht erwiesen und ist im von der Vorinstanz verbindlich erhobenen Sachverhalt ( Art. 105 Abs. 1 BGG ) nicht festgestellt. Er kann daher nicht berücksichtigt werden. Wenn die Vorinstanz die betreffende Äusserung nicht als wichtigen Grund für eine fristlose Kündigung qualifizierte, ist dies bundesrechtlich nicht zu beanstanden. Das Bundesgericht sieht keinen Anlass, in das Ermessen der Vorinstanz einzugreifen (vgl. Erwägung 2).</w:t>
      </w:r>
    </w:p>
    <w:p>
      <w:r>
        <w:rPr>
          <w:b/>
        </w:rPr>
        <w:t>E. 4</w:t>
      </w:r>
    </w:p>
    <w:p>
      <w:r>
        <w:t>Die Beschwerde erweist sich als unbegründet und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