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4A_297/2018 vom 21. Januar 2020</w:t>
      </w:r>
    </w:p>
    <w:p>
      <w:r>
        <w:t>Bundesgericht, 2020-01-21, FR</w:t>
      </w:r>
    </w:p>
    <w:p>
      <w:r>
        <w:rPr>
          <w:b/>
        </w:rPr>
        <w:t xml:space="preserve">Quelle: </w:t>
      </w:r>
      <w:r>
        <w:t>https://mcp.opencaselaw.ch/entscheid/bger_4A_297_2018</w:t>
      </w:r>
    </w:p>
    <w:p>
      <w:r>
        <w:t>FR: TF 4A_297/2018 du 21 janvier 2020</w:t>
      </w:r>
    </w:p>
    <w:p>
      <w:r>
        <w:t>IT: TF 4A_297/2018 del 21 gennaio 2020</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La recourante, dont les conclusions libératoires et condamnatoires ont été rejetées,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convient d'observer au préalable que la conclusion de la demande tendant au paiement d'un montant de 100'000 fr. en mains de E.________ SA a été définitivement rejetée par la Cour civile du Tribunal cantonal vaudois, dont le jugement n'a pas fait l'objet d'un appel sur ce point.</w:t>
      </w:r>
    </w:p>
    <w:p>
      <w:r>
        <w:t>Seules sont litigieuses à ce stade les prétentions déduites de la désignation de nommable du 21 mars 2006, étant précisé que l'une des parties à cet acte, H.________ SA, a été radiée du registre du commerce et mise hors de cause.</w:t>
      </w:r>
    </w:p>
    <w:p>
      <w:r>
        <w:rPr>
          <w:b/>
        </w:rPr>
        <w:t>E. 4</w:t>
      </w:r>
    </w:p>
    <w:p>
      <w:r>
        <w:t>A l'instar du promettant-vendeur qui a refusé d'exécuter son obligation contractuelle le 30 septembre 2010, la recourante invoque la nullité de la promesse de vente conditionnelle du 12 octobre 2000 et, partant, la nullité de la désignation de nommable et cession du 21 mars 2006 pour justifier, d'une part, son refus de payer les montants de 130'000 fr. et 500'000 fr. réclamés par les intimés B.________ SA, C.________ et D.________ et, d'autre part, sa prétention en remboursement de l'acompte de 50'000 fr.</w:t>
      </w:r>
    </w:p>
    <w:p>
      <w:r>
        <w:rPr>
          <w:b/>
        </w:rPr>
        <w:t>E. 4.1</w:t>
      </w:r>
    </w:p>
    <w:p>
      <w:r>
        <w:t>Dans un premier moyen fondé sur l' art. 216 al. 2 CO , la recourante fait valoir que la promesse de vente serait nulle dès lors que cet acte authentique ne relaterait pas de manière exacte le rapport de représentation entre la promettante-acheteuse H.________ SA et son administrateur L.________. Ce dernier aurait agi en vertu d'une procuration signée par lui-même et un certain R.________ qui n'aurait disposé à l'époque d'aucun pouvoir de signature au sein de H.________ SA.</w:t>
      </w:r>
    </w:p>
    <w:p>
      <w:r>
        <w:rPr>
          <w:b/>
        </w:rPr>
        <w:t>E. 4.1.1</w:t>
      </w:r>
    </w:p>
    <w:p>
      <w:r>
        <w:t>La forme authentique exigée pour la vente ou la promesse de vente d'immeubles ( art. 216 al. 1 et 2 CO ) suppose notamment que l'acte même contienne la désignation exacte des parties et de leurs éventuels représentants, avec indication du rapport de représentation. L'officier public ne saurait ainsi attester dans l'acte la comparution d'un représentant absent, ni passer sous silence celle du représentant effectivement présent ( ATF 112 II 330 consid. 1a p. 332).</w:t>
      </w:r>
    </w:p>
    <w:p>
      <w:r>
        <w:rPr>
          <w:b/>
        </w:rPr>
        <w:t>E. 4.1.2</w:t>
      </w:r>
    </w:p>
    <w:p>
      <w:r>
        <w:t>Il convient de relever tout d'abord que l'argumentation de la recourante repose, sans plus ample motivation, sur des faits qui ne ressortent pas de l'arrêt attaqué de sorte qu'il n'y a en principe pas lieu d'en tenir compte (cf. consid. 2.2. supra). Au demeurant, la promesse de vente du 12 octobre 2000 mentionne que la partie H.________ SA est représentée par son administrateur L.________. La recourante ne prétend pas que cette constatation est inexacte. Par ailleurs, elle relève elle-même que L.________ disposait alors de la signature individuelle pour représenter H.________ SA. Pour autant que recevable, le grief tiré du non-respect de la forme authentique sur ce point est manifestement mal fondé.</w:t>
      </w:r>
    </w:p>
    <w:p>
      <w:r>
        <w:rPr>
          <w:b/>
        </w:rPr>
        <w:t>E. 4.2</w:t>
      </w:r>
    </w:p>
    <w:p>
      <w:r>
        <w:t>La thèse principale de la recourante tout au long de la procédure a consisté à soutenir que les deux conventions signées le 12 octobre 2000 - la promesse de vente et l'acte sous seing privé - liaient les mêmes parties et étaient interdépendantes. L'acte authentique serait ainsi nul faute de reprendre les éléments essentiels de la vente qui seraient contenus dans l'acte sous seing privé.</w:t>
      </w:r>
    </w:p>
    <w:p>
      <w:r>
        <w:t>Selon l'arrêt attaqué, les parties ayant signé la promesse de vente et l'acte sous seing privé ne sont pas identiques. En effet, H.________ SA (pour la promesse de vente) et J.________ SA (pour l'acte sous seing privé) sont des entités juridiques distinctes quand bien même elles ont le même administrateur-président, soit L.________. Aucune identité économique entre celui-ci et ces sociétés n'est au surplus alléguée, ni démontrée. Il en va de même pour B.________ SA (pour la promesse de vente) et I.________ SA (pour l'acte sous seing privé), même si K.________ est administrateur-président et actionnaire des deux sociétés. La cour cantonale rejette au surplus la thèse selon laquelle les signataires de la promesse de vente se reconnaîtraient comme étant les signataires de l'acte sous seing privé.</w:t>
      </w:r>
    </w:p>
    <w:p>
      <w:r>
        <w:t>Interprétant l'acte sous seing privé selon le principe de confiance, la cour cantonale a jugé, au demeurant, qu'il s'agissait d'une simple déclaration d'intention et que ses clauses ne sauraient constituer des éléments essentiels de la promesse de vente.</w:t>
      </w:r>
    </w:p>
    <w:p>
      <w:r>
        <w:rPr>
          <w:b/>
        </w:rPr>
        <w:t>E. 4.2.1</w:t>
      </w:r>
    </w:p>
    <w:p>
      <w:r>
        <w:t>La recourante soulève les griefs d'appréciation arbitraire des preuves et de violation de l' art. 216 al. 2 CO . Il ressortirait de plusieurs pièces du dossier - qui auraient été écartées arbitrairement par la cour cantonale - et des circonstances du cas d'espèce que J.________ SA et I.________ SA se sont comportées et ont été traitées par les différents acteurs comme si elles étaient toutes les deux engagées par la promesse de vente. Comme l'acte authentique ne mentionne pas ces deux sociétés, l'exigence de la désignation exacte des parties ne serait pas respectée et la promesse de vente serait ainsi nulle.</w:t>
      </w:r>
    </w:p>
    <w:p>
      <w:r>
        <w:t>Comme déjà relevé (consid. 4.1.1), la forme authentique doit couvrir la désignation des parties. Ce faisant, l'officier public atteste que les parties au contrat mentionnées dans l'acte sont celles qui ont manifesté leur volonté devant lui (ALFRED KOLLER, Der Grundstückkauf, 3e éd. 2017, n° 27 p. 10).</w:t>
      </w:r>
    </w:p>
    <w:p>
      <w:r>
        <w:t>Dès l'instant où cette concordance est vérifiée et constatée dans l'acte authentique, il n'y a plus de place pour établir qu'une autre personne juridique serait en réalité partie au contrat. C'est pourquoi la cour cantonale a qualifié à juste titre de non-déterminantes les pièces invoquées par la recourante qui démontreraient que les membres du groupe de promotion - dont J.________ SA et I.________ SA ne figurant pas dans la promesse de vente - se considéraient comme les promettants-acheteurs. Dans ce contexte, le passage de l'acte sous seing privé faisant état d'une promesse de vente conclue par le groupe de promotion n'est pas plus pertinent.</w:t>
      </w:r>
    </w:p>
    <w:p>
      <w:r>
        <w:t>En l'espèce, il n'est pas contesté que les parties mentionnées dans la promesse de vente, dont H.________ SA et B.________ SA, sont bien les personnes juridiques qui, personnellement ou par un représentant, ont comparu devant le notaire et signé l'acte authentique. Il s'ensuit que les juges précédents n'ont pas violé l' art. 216 CO en rejetant le grief tiré d'une prétendue désignation inexacte des parties à la promesse de vente.</w:t>
      </w:r>
    </w:p>
    <w:p>
      <w:r>
        <w:rPr>
          <w:b/>
        </w:rPr>
        <w:t>E. 4.2.2</w:t>
      </w:r>
    </w:p>
    <w:p>
      <w:r>
        <w:t>Dans un moyen subsidiaire, la recourante fait valoir que les intimés commettent un abus de droit en se prévalant de l'indépendance juridique de J.________ SA et de I.________ SA par rapport à H.________ SA, respectivement à B.________ SA. Elle en déduit que, en tout état de cause, les clauses de l'acte sous seing privé sont opposables aux parties signataires de la promesse de vente. Or, en tant qu'elles prévoient en particulier la faculté d'annuler la promesse de vente à certaines conditions ou d'adapter le prix de vente de la parcelle n° xxx, ces clauses constitueraient des éléments essentiels du contrat qui auraient dû être intégrés à la promesse de vente sous peine de nullité. La recourante précise à cet égard que l'acte sous seing privé contient des dispositions contraignantes pour les parties même au-delà du 31 octobre 2000, date limite fixée pour passer l'acte sous seing privé en la forme authentique; elle en veut pour preuve des procès-verbaux et courriers du groupe de promotion ou de D.________ établis en 2001 et 2002, documents qui auraient été écartés de manière arbitraire par l'autorité cantonale.</w:t>
      </w:r>
    </w:p>
    <w:p>
      <w:r>
        <w:t>Selon les propres termes de la recourante, les pièces postérieures à l'acte sous seing privé qu'elle invoque seraient aptes à démontrer, en fait, que les parties se sentaient liées par cette convention même si celle-ci ne revêtait pas la forme authentique réservée par son chiffre 8; sur la base d'une interprétation subjective, l'acte en cause ne constituerait donc pas une simple déclaration d'intention, comme la cour cantonale l'a admis à la suite d'une interprétation (objective) fondée sur le principe de la confiance.</w:t>
      </w:r>
    </w:p>
    <w:p>
      <w:r>
        <w:t>Ce faisant, la recourante n'explique pas en quoi les pièces en cause permettraient d'établir la volonté commune et réelle des parties sur le contenu de leur prétendu accord et, en particulier, de dégager le véritable sens des clauses 2, 5 et 6 de l'acte sous seing privé. En tant qu'il entend faire valoir la prééminence de l'interprétation subjective sur l'interprétation objective, le grief est mal fondé.</w:t>
      </w:r>
    </w:p>
    <w:p>
      <w:r>
        <w:t>Cela étant, la cour cantonale a confirmé, au vu du contexte des déclarations des intéressés et des circonstances les ayant précédées et accompagnées, le résultat de l'interprétation objective à laquelle les premiers juges s'étaient livrés en se fondant sur le texte de l'acte; il en ressort que ce dernier ne constitue qu'une déclaration d'intention et qu'il ne contient au surplus aucun élément essentiel à la vente de la parcelle n° xxx.</w:t>
      </w:r>
    </w:p>
    <w:p>
      <w:r>
        <w:t>Cette interprétation ne peut être que confirmée. L'acte sous seing privé envisage essentiellement les conditions d'une future acquisition de la parcelle n° yyy qui, comme la parcelle n° xxx, appartenait à G.________. En utilisant le verbe pouvoir au conditionnel ("pourrait"), le chiffre 2 de l'acte précité ne crée aucun droit à l'annulation de la promesse de vente de la parcelle n° xxx au cas où la parcelle n° yyy serait encore propriété de G.________ deux ans plus tard. De même, l'usage du verbe pouvoir au futur ("pourra") au chiffre 5 de l'acte sous seing privé ne donne pas à penser qu'il s'agit de faire naître des droits et obligations en rapport avec une adaptation du prix, dont il apparaît au surplus, vu l'ordonnancement des dispositions, qu'elle ne concerne que la vente envisagée de la parcelle n° yyy.</w:t>
      </w:r>
    </w:p>
    <w:p>
      <w:r>
        <w:t>Au demeurant, en signant l'acte sous seing privé le 12 octobre 2000, les parties ont réservé la forme authentique et manifesté ainsi que, ce jour-là, l'acte ne reflétait pas encore leur volonté définitive. Même en admettant que les parties à la promesse de vente et à l'acte sous seing privé soient identiques, les manifestations de volonté des parties telle qu'elles résultent de l'interprétation de l'acte sous seing privé ne sauraient être déterminantes pour établir que la promesse de vente passée, le même jour, en la forme authentique ne rapporterait pas de manière complète la volonté des parties sur les éléments essentiels du contrat (cf. ATF 122 III 361 consid. 4 p. 366; 121 III 118 consid. 4b/bb p. 124).</w:t>
      </w:r>
    </w:p>
    <w:p>
      <w:r>
        <w:rPr>
          <w:b/>
        </w:rPr>
        <w:t>E. 4.3</w:t>
      </w:r>
    </w:p>
    <w:p>
      <w:r>
        <w:t>Il s'ensuit que la cour cantonale a nié à bon droit la nullité de la promesse de vente du 12 octobre 2000 et, partant, la nullité de la désignation de nommable et cession du droit d'emption du 21 mars 2006. Le recours est mal fondé sur ce point.</w:t>
      </w:r>
    </w:p>
    <w:p>
      <w:r>
        <w:rPr>
          <w:b/>
        </w:rPr>
        <w:t>E. 5.1</w:t>
      </w:r>
    </w:p>
    <w:p>
      <w:r>
        <w:t>Sous l'intitulé "La restitution de l'acompte de CHF 50'000", le recours contient un dernier moyen, difficilement compréhensible. La recourante reproche aux intimés de n'avoir pas actionné G.________ en exécution de la promesse de vente à la suite du constat de carence du 30 septembre 2010; elle semble en déduire que les intimés n'auraient pas exécuté leurs obligations découlant de la désignation de nommable et soutient que le versement de 50'000 fr., effectué prétendument sans cause, doit lui être restitué.</w:t>
      </w:r>
    </w:p>
    <w:p>
      <w:r>
        <w:rPr>
          <w:b/>
        </w:rPr>
        <w:t>E. 5.2</w:t>
      </w:r>
    </w:p>
    <w:p>
      <w:r>
        <w:t>Sur ce point, la cour cantonale renvoie pertinemment à la motivation du premier jugement.</w:t>
      </w:r>
    </w:p>
    <w:p>
      <w:r>
        <w:t>La promesse de vente du 12 octobre 2000 contient déjà tous les éléments essentiels de la vente immobilière projetée, à laquelle elle doit être assimilée ( art. 216 al. 1 CO ; ATF 129 III 264 consid. 3.2.1 p. 267; 118 II 32 consid. 3b et 3c p. 33 s.; 103 III 97 consid. 2a p. 107). Il s'agit en outre d'une vente conditionnelle au sens de l' art. 217 al. 1 CO . Une fois les conditions suspensives remplies, les (promettants-) acquéreurs disposaient directement d'un titre d'acquisition leur permettant d'exiger du (promettant-) vendeur qu'il fasse opérer l'inscription du transfert de propriété au registre foncier et, en cas de refus, d'ouvrir action ( art. 665 al. 1 CC ).</w:t>
      </w:r>
    </w:p>
    <w:p>
      <w:r>
        <w:t>Par ailleurs, la (promesse de) vente du 12 octobre 2000 a été conclue pour soi ou son ou ses nommables, c'est-à-dire qu'elle offrait aux (promettants-) acquéreurs la possibilité de se substituer un ou des nommables. Les intimés ont fait usage de cette faculté en concluant tout d'abord par acte authentique la désignation de nommable et cession du droit d'emption du 21 mars 2006 avec M.________ SA, laquelle a accepté de prendre la place des intimés dans le contrat de base passé avec G.________. Puis, dans le délai de validité de la (promesse de) vente, soit au plus tard le 30 septembre 2010, les intimés ont révélé au (promettant-) vendeur le nom du nommable, soit P.________ AG qui avait succédé dans ses droits à M.________ SA (désignation de nommable proprement dite). A partir de ce moment-là, les (promettants-) acquéreurs étaient déliés et il restait comme parties en présence le (promettant-) vendeur et la nommable désignée (arrêt 4C.356/2001 du 12 mars 2002 consid. 3b; JEAN-FRÉDÉRIC REYMOND, La promesse de vente pour soi ou son nommable, 1945, p. 205). C'est dire que le droit d'agir en exécution de la (promesse de) vente appartenait alors à P.________ AG à laquelle la recourante a succédé.</w:t>
      </w:r>
    </w:p>
    <w:p>
      <w:r>
        <w:t>En tant qu'il prétend tirer des droits d'une prétendue inaction des intimés, le recours est manifestement mal fondé.</w:t>
      </w:r>
    </w:p>
    <w:p>
      <w:r>
        <w:rPr>
          <w:b/>
        </w:rPr>
        <w:t>E. 6</w:t>
      </w:r>
    </w:p>
    <w:p>
      <w:r>
        <w:t>Sur le vu de ce qui précède, le recours doit être rejeté.</w:t>
      </w:r>
    </w:p>
    <w:p>
      <w:r>
        <w:t>La recourante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