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4A_297/2015 vom 7. Oktober 2015</w:t>
      </w:r>
    </w:p>
    <w:p>
      <w:r>
        <w:t>Bundesgericht, 2015-10-07, FR</w:t>
      </w:r>
    </w:p>
    <w:p>
      <w:r>
        <w:rPr>
          <w:b/>
        </w:rPr>
        <w:t xml:space="preserve">Quelle: </w:t>
      </w:r>
      <w:r>
        <w:t>https://mcp.opencaselaw.ch/entscheid/bger_4A_297_2015</w:t>
      </w:r>
    </w:p>
    <w:p>
      <w:r>
        <w:t>FR: TF 4A_297/2015 du 7 octobre 2015</w:t>
      </w:r>
    </w:p>
    <w:p>
      <w:r>
        <w:t>IT: TF 4A_297/2015 del 7 ottobre 2015</w:t>
      </w:r>
    </w:p>
    <w:p>
      <w:pPr>
        <w:pStyle w:val="Heading2"/>
      </w:pPr>
      <w:r>
        <w:t>Erwägungen</w:t>
      </w:r>
    </w:p>
    <w:p>
      <w:r>
        <w:rPr>
          <w:b/>
        </w:rPr>
        <w:t>E. 1.1</w:t>
      </w:r>
    </w:p>
    <w:p>
      <w:r>
        <w:t>En l'espèce, dans le jugement déféré, la cour cantonale a statué sur l'action en réparation du tort moral intentée par les demandeurs et réservé les prétentions en dommages-intérêts de ceux-ci contre la défenderesse.</w:t>
      </w:r>
    </w:p>
    <w:p>
      <w:r>
        <w:t>On peut laisser indécise la question de savoir si le jugement de la cour cantonale constitue une décision finale ( art. 90 LTF ), qui met fin à la procédure, ou une décision partielle au sens de l' art. 91 let. a LTF (</w:t>
      </w:r>
    </w:p>
    <w:p>
      <w:r>
        <w:t>i.e. partiellement finale) statuant sur un objet (réparation du tort moral) dont le sort est indépendant de celui qui reste en cause (procès sur les dommages-intérêts) (cf. sur cette question: Bernard Corboz, Commentaire de la LTF, 2e édition 2014, n° 14 ad art. 91 LTF ). En effet, dans les deux cas, le recours immédiat au Tribunal fédéral est ouvert.</w:t>
      </w:r>
    </w:p>
    <w:p>
      <w:r>
        <w:t>Interjeté pour le reste conjointement par les demandeurs qui ont entièrement succombé dans leurs conclusions en paiement et qui ont ainsi la qualité pour recourir ( art. 76 al. 1 LTF ), dirigé contre un arrêt rendu en matière civile ( art. 72 al. 1 LTF ) par un tribunal supérieur statuant sur recours ( art. 75 LTF ) dans une affaire pécuniaire dont la valeur litigieuse dépasse largement le seuil de 30'000 fr. de l' art. 74 al. 1 let. b LTF , le recours est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Dans le jugement attaqué, au considérant 4.4, les magistrats valaisans ont retenu, à l'instar du premier juge, que l'existence d'un rapport de causalité naturelle entre les omissions fautives aux règles de l'art médical imputables à la défenderesse et le préjudice survenu, lien de causalité hypothétique qu'il appartenait aux demandeurs A.A.________ et B.A.________ d'établir au degré de la vraisemblance prépondérante, n'a pas été démontrée. Comme il manque donc l'une des conditions cumulatives de la responsabilité contractuelle de la défenderesse, l'action desdits demandeurs doit être rejetée. Quant à l'action délictuelle de B.________, elle est atteinte par la prescription.</w:t>
      </w:r>
    </w:p>
    <w:p>
      <w:r>
        <w:rPr>
          <w:b/>
        </w:rPr>
        <w:t>E. 3.1</w:t>
      </w:r>
    </w:p>
    <w:p>
      <w:r>
        <w:t>Les recourants ne remettent pas en cause dans le présent recours que l'action en réparation du tort moral intentée par B.________, dont le fondement est bien délictuel ainsi que l'avait déjà admis le premier juge, est prescrite en vertu de l' art. 60 al. 1 CO . Ce point est désormais acquis au débat.</w:t>
      </w:r>
    </w:p>
    <w:p>
      <w:r>
        <w:rPr>
          <w:b/>
        </w:rPr>
        <w:t>E. 3.2</w:t>
      </w:r>
    </w:p>
    <w:p>
      <w:r>
        <w:t>Les recourants ne contestent pas davantage que A.A.________ et B.A.________ ont conclu avec la défenderesse, laquelle en sa qualité de gynécologue s'est notamment engagée à suivre la grossesse de la première et à prendre les mesures adéquates pour assurer la sauvegarde de la santé de la mère et de l'enfant à naître, un contrat de soins médicaux, qui doit être qualifié de mandat au sens de l' art. 394 CO ( ATF 133 III 121 consid. 3.1 p. 123; 132 III 359 consid. 3.1 p. 362 s.).</w:t>
      </w:r>
    </w:p>
    <w:p>
      <w:r>
        <w:t>Le mandataire est responsable envers le mandant de la bonne et fidèle exécution du mandat ( art. 398 al. 2 CO ). En cas d'inexécution ou de mauvaise exécution de son obligation de diligence, le mandataire est tenu de réparer le dommage qui en résulte, à moins qu'il ne prouve qu'aucune faute ne lui est imputable ( art. 97 al. 1 CO ). La responsabilité du mandataire suppose donc la réunion de quatre conditions qui sont cumulatives: une violation d'un devoir de diligence, une faute, un préjudice et une relation de causalité (naturelle et adéquate) entre la violation fautive du devoir de diligence et le préjudice survenu (cf. ATF 133 III 121 consid. 3.1 p. 124; 132 III 379 consid. 3.1 p. 381).</w:t>
      </w:r>
    </w:p>
    <w:p>
      <w:r>
        <w:t>D'après l' art. 47 CO , le juge peut, en tenant compte de circonstances particulières, allouer à la victime de lésions corporelles une indemnité équitable à titre de réparation morale. Selon l' art. 49 al. 1 CO , celui qui subit une atteinte illicite à sa personnalité a droit à une somme d'argent à titre de réparation morale, pour autant que la gravité de l'atteinte le justifie et que l'auteur ne lui ait pas donné satisfaction autrement. Ces deux dispositions sont applicables à la responsabilité contractuelle en vertu du renvoi de l' art. 99 al. 3 CO ( ATF 116 II 519 consid. 2c p.520 s.).</w:t>
      </w:r>
    </w:p>
    <w:p>
      <w:r>
        <w:rPr>
          <w:b/>
        </w:rPr>
        <w:t>E. 4</w:t>
      </w:r>
    </w:p>
    <w:p>
      <w:r>
        <w:t>Invoquant la violation de l' art. 9 Cst. et de l'exigence de preuve déduite de l' art. 8 CC , les recourants soutiennent que l'autorité cantonale a sombré dans l'arbitraire et violé cette norme de droit matériel en considérant que le lien de causalité naturelle n'était pas établi entre les défauts de la prise en charge médicale de la grossesse de A.A.________ par l'intimée et les lésions cérébrales accompagnées de troubles du développement affectant B.A.________, respectivement les souffrances psychiques endurées par la prénommée, l'enfant et B.________. Ils font valoir que la Cour civile s'est écartée, dans un cas très complexe sur le plan médical, des conclusions des experts, et notamment de l'expert judiciaire. Pour écarter le rapport de causalité naturelle, elle n'aurait fait que reprendre des réserves hypothétiques mises en exergue par les expertes de la FMH, sans démontrer que d'autres possibilités auraient pu raisonnablement entrer en considération pour expliquer les lésions de l'enfant. Or la cour cantonale aurait dû, à la lecture de l'expertise judiciaire, reconnaître que les recourants avaient apporté la preuve au niveau de la vraisemblance prépondérante que les lésions en question résultaient de la souffrance prénatale non décelée par l'intimée en raison de ses erreurs répétées. L'asphyxie néonatale ne permettrait pas de rejeter les autres origines des troubles du développement de B.A.________, que sont la prématurité, le retard de croissance intra-utérin et l'hémorragie intracérébrale d'origine prénatale, desquelles découlerait un lien de causalité fondé sur la " haute probabilité " relevée par l'expert judiciaire. A en croire les recourants, même si l'expertise extrajudiciaire a retenu, du point de vue hypothétique, que les lésions présentées par l'enfant pourraient provenir d'autres causes, ces dernières n'ont pas été évoquées dans l'historique pré- ou périnatal de celui-ci.</w:t>
      </w:r>
    </w:p>
    <w:p>
      <w:r>
        <w:rPr>
          <w:b/>
        </w:rPr>
        <w:t>E. 4.1</w:t>
      </w:r>
    </w:p>
    <w:p>
      <w:r>
        <w:t>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par la cour cantonale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à l'autorité cantonale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4.2</w:t>
      </w:r>
    </w:p>
    <w:p>
      <w:r>
        <w:t>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(état de nécessité en matière de preuve); tel est en particulier le cas de l'existence d'un lien de causalité hypothétique (cf. ATF 133 III 81 consid. 4.2.2, 462 consid. 4.4.2).</w:t>
      </w:r>
    </w:p>
    <w:p>
      <w:r>
        <w:t>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 p. 89 et les arrêts cités).</w:t>
      </w:r>
    </w:p>
    <w:p>
      <w:r>
        <w:t>La question présentement litigieuse a trait à la causalité hypothétique entre les trois omissions fautives imputables à l'intimée (absence de détermination exacte de l'âge de la grossesse le 23 septembre 2002, absence de découverte de la hauteur utérine basse présente le 15 janvier 2003, absence d'examen clinique le 30 janvier 2003) et les très importantes lésions cérébrales dont est atteint l'enfant, pour lesquelles les demandeurs réclament réparation du préjudice moral éprouvé.</w:t>
      </w:r>
    </w:p>
    <w:p>
      <w:r>
        <w:t>Selon la jurisprudence du Tribunal fédéral à propos de la causalité en cas d'omission (cf. ATF 132 III 715 consid. 2.3 p. 718 s.),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lorsqu'elles ne reposent pas exclusivement sur l'expérience de la vie, mais sur des faits ressortant de l'appréciation des preuves, sous réserve d'arbitraire dans leur détermination.</w:t>
      </w:r>
    </w:p>
    <w:p>
      <w:r>
        <w:rPr>
          <w:b/>
        </w:rPr>
        <w:t>E. 4.3</w:t>
      </w:r>
    </w:p>
    <w:p>
      <w:r>
        <w:t>En l'espèce, l'autorité cantonale s'est fondée sur le rapport rédigé le 27 février 2006 par les expertes du Bureau d'expertises extrajudiciaires de la FMH et le rapport du 23 janvier 2013 de l'expert judiciaire pour nier l'existence d'un lien de causalité naturelle entre les omissions de l'intimée, contraires à son devoir de diligence, et le préjudice moral allégué par les recourants. Elle a fait état en détail du contenu de ces deux rapports aux considérants 3.1 et 3.2 de son jugement du 29 avril 2015, aux pages 8 à 14.</w:t>
      </w:r>
    </w:p>
    <w:p>
      <w:r>
        <w:t>Se référant au rapport des expertes de la FMH, la cour cantonale a constaté que si le retard de croissance de l'enfant avait été détecté plus tôt, soit par exemple lors de la consultation du 15 janvier 2003 où la hauteur utérine était anormalement basse, le suivi de la grossesse aurait été complètement différent, en ce sens qu'une surveillance échographique et Doppler rapprochée aurait été mise en oeuvre, qu'une hospitalisation de la mère aurait été éventuellement requise et qu'une césarienne aurait eu lieu avant celle réalisée le 18 février 2003. Toutefois, les expertes n'ont pas pu déterminer à partir de quand le foetus a souffert de lésions cérébrales et si une surveillance optimale aurait empêché qu'il développe les handicaps qui l'affectent désormais. Les expertes ont déclaré que des lésions cérébrales peuvent apparaître chez le foetus en cas d'infection intra-utérine et que, certes dans des occurrences très rares, des lésions cérébrales intra-utérines par ischémie ou hémorragie sont susceptibles de survenir chez des foetus sains et sans retard de croissance. En outre, des lésions cérébrales peuvent également arriver dans la période post-natale, le risque étant d'autant plus prononcé que l'enfant est né tôt.</w:t>
      </w:r>
    </w:p>
    <w:p>
      <w:r>
        <w:t>Sur la base du rapport de l'expert judiciaire, il a été retenu que le foetus a subi une hémorragie intracérébrale dans la période prénatale, à savoir entre deux jours et deux semaines avant l'IRM cérébrale effectuée au deuxième jour de vie de l'enfant. Cette lésion ne permettant toutefois pas d'expliquer l'ensemble du tableau neurologique actuel, il est certainement survenu une atteinte cérébrale plus importante. L'ensemble des troubles du développement de l'enfant ont pour origine, avec haute probabilité, une souffrance cérébrale pré- et périnatale, étant précisé que la période périnatale s'étend du 154e jour de la gestation au 7e jour après la naissance.</w:t>
      </w:r>
    </w:p>
    <w:p>
      <w:r>
        <w:t>En période néonatale, il a été diagnostiqué en particulier une asphyxie néotale et un syndrome de détresse respiratoire sur " Wet-Lung ". Cette affection a été reconnue comme infirmité congénitale selon le chiffre 497 de l'annexe à l'OIC, soit comme une infirmité présente à la naissance accomplie de l'enfant ( art. 1 al. 1 OIC ).</w:t>
      </w:r>
    </w:p>
    <w:p>
      <w:r>
        <w:t>En fonction de ces données, émanant d'experts médicaux dont les parties n'ont jamais remis en question les compétences professionnelles, il n'est pas possible d'exclure raisonnablement que les troubles dont souffre B.A.________ ont été provoqués par des lésions cérébrales apparues dans la période post-natale, au cours de laquelle l'enfant a été atteint d'un syndrome de détresse respiratoire aiguë sur "Wet-Lung ", qui est une forme très sévère de défaillance pulmonaire aiguë. Ces graves troubles ont du reste été reconnus par l'AI en tant qu'infirmité congénitale.</w:t>
      </w:r>
    </w:p>
    <w:p>
      <w:r>
        <w:t>En tout cas, cette possibilité, à dire d'experts, a une importance significative, que l'on ne peut sérieusement écarter.</w:t>
      </w:r>
    </w:p>
    <w:p>
      <w:r>
        <w:t>Ayant constaté des décélérations du rythme cardiaque foetal lors de la consultation du 18 février 2003 à 14 h. 15, l'intimée a immédiatement enjoint A.A.________ de se rendre en urgence à l'Hôpital de X.________, où il a été pratiqué quelques heures après une césarienne par un médecin de cet établissement. Il n'est pas contesté que l'intimée n'était pas présente lorsqu'un médecin-chef de l'Hôpital de X.________ a pratiqué en urgence une césarienne pour extraire l'enfant porté par A.A.________ et qu'elle n'a pas été appelée à prodiguer ses soins dans la période post-natale.</w:t>
      </w:r>
    </w:p>
    <w:p>
      <w:r>
        <w:t>Dans un tel contexte, il n'est pas arbitraire de retenir, même selon le degré de preuve limité à la vraisemblance prépondérante, que les recourants ne sont pas parvenus à établir que les omissions, contraires aux règles de l'art médical, imputables à l'intimée étaient la cause naturelle des lésions cérébrales et des troubles du développement dont est atteint B.A.________.</w:t>
      </w:r>
    </w:p>
    <w:p>
      <w:r>
        <w:t>Le moyen pris d'une violation de l' art. 9 Cst. et de l'exigence de preuve applicable in casu est infondé.</w:t>
      </w:r>
    </w:p>
    <w:p>
      <w:r>
        <w:rPr>
          <w:b/>
        </w:rPr>
        <w:t>E. 5</w:t>
      </w:r>
    </w:p>
    <w:p>
      <w:r>
        <w:t>Le présent résultat (absence de relation de causalité hypothétique entre la violation contractuelle du mandataire et le préjudice invoqué) dispense le Tribunal fédéral d'examiner les autres critiques des recourants, fondées sur les autres conditions de la responsabilité médicale.</w:t>
      </w:r>
    </w:p>
    <w:p>
      <w:r>
        <w:rPr>
          <w:b/>
        </w:rPr>
        <w:t>E. 6</w:t>
      </w:r>
    </w:p>
    <w:p>
      <w:r>
        <w:t>Il suit de là que le recours doit être rejeté.</w:t>
      </w:r>
    </w:p>
    <w:p>
      <w:r>
        <w:t>Les recourants, qui succombent, supporteront solidairement les frais de justice et verseront solidairement une indemnité de dépens à l'intimée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