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4A_296/2007 vom 31. Oktober 2007</w:t>
      </w:r>
    </w:p>
    <w:p>
      <w:r>
        <w:t>Bundesgericht, 2007-10-31, FR</w:t>
      </w:r>
    </w:p>
    <w:p>
      <w:r>
        <w:rPr>
          <w:b/>
        </w:rPr>
        <w:t xml:space="preserve">Quelle: </w:t>
      </w:r>
      <w:r>
        <w:t>https://mcp.opencaselaw.ch/entscheid/bger_4A_296_2007</w:t>
      </w:r>
    </w:p>
    <w:p>
      <w:r>
        <w:t>FR: TF 4A_296/2007 du 31 octobre 2007</w:t>
      </w:r>
    </w:p>
    <w:p>
      <w:r>
        <w:t>IT: TF 4A_296/2007 del 31 ottobre 2007</w:t>
      </w:r>
    </w:p>
    <w:p>
      <w:pPr>
        <w:pStyle w:val="Heading2"/>
      </w:pPr>
      <w:r>
        <w:t>Erwägungen</w:t>
      </w:r>
    </w:p>
    <w:p>
      <w:r>
        <w:rPr>
          <w:b/>
        </w:rPr>
        <w:t>E. 1.1</w:t>
      </w:r>
    </w:p>
    <w:p>
      <w:r>
        <w:t>Les contestations portant sur l'usage d'une chose louée sont de nature pécuniaire (arrêt 4C.155/2000 du 30 août 2000, reproduit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w:t>
      </w:r>
    </w:p>
    <w:p>
      <w:r>
        <w:t>En l'occurrence, le contrat de bail a été conclu pour une durée initiale de quinze ans dès le 1er juillet 1997 et le loyer annuel, charges non comprises, s'élève à 27'912 fr., de sorte que la valeur litigieuse requise est atteinte.</w:t>
      </w:r>
    </w:p>
    <w:p>
      <w:r>
        <w:rPr>
          <w:b/>
        </w:rPr>
        <w:t>E. 1.2</w:t>
      </w:r>
    </w:p>
    <w:p>
      <w:r>
        <w:t>Par ailleurs exercé par la recourante qui a succombé dans ses conclusions ( art. 76 al. 1 LTF ), et dirigé contre une décision finale ( art. 90 LTF ) rendue en matière civile ( art. 72 al. 1 LTF ) par une autorité cantonale de dernière instance ( art. 75 al. 1 LTF ), le présent recours en matière civile est en principe recevable, puisqu'il a été déposé dans le délai, compte tenu des féries (art. 45 al. 1, 46 al. 1 let. b et 100 al. 1 LTF), et la forme ( art. 42 LTF ) prévus par la loi.</w:t>
      </w:r>
    </w:p>
    <w:p>
      <w:r>
        <w:rPr>
          <w:b/>
        </w:rPr>
        <w:t>E. 2</w:t>
      </w:r>
    </w:p>
    <w:p>
      <w:r>
        <w:t>La recourante interjette un recours en matière civile. Elle reproche à la cour cantonale d'avoir « ignoré les conditions d'application de l'article 257f CO au même titre qu'elle s'est fourvoyée dans l'adéquation des faits et du droit ».</w:t>
      </w:r>
    </w:p>
    <w:p>
      <w:r>
        <w:rPr>
          <w:b/>
        </w:rPr>
        <w:t>E. 2.1</w:t>
      </w:r>
    </w:p>
    <w:p>
      <w:r>
        <w:t>Le recours en matière civile peut être interjeté pour violation du droit fédéral ( art. 95 let. a LTF ), y compris les droits constitutionnels (Message concernant la révision totale de l'organisation judiciaire fédérale du 28 février 2001, FF 2001 p. 4000 ss [ci-après: Message], p. 4132).</w:t>
      </w:r>
    </w:p>
    <w:p>
      <w:r>
        <w:t>Saisi d'un tel recours,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(Message, p. 4135).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III 209 consid. 2.1).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w:t>
      </w:r>
    </w:p>
    <w:p>
      <w:r>
        <w:rPr>
          <w:b/>
        </w:rPr>
        <w:t>E. 2.2</w:t>
      </w:r>
    </w:p>
    <w:p>
      <w:r>
        <w:t>L' art. 257f al. 3 CO permet au bailleur de résilier les baux d'habitations, moyennant un délai de congé de trente jours pour la fin d'un mois, lorsque le maintien du bail est devenu insupportable pour le bailleur ou les personnes habitant la maison parce que le locataire, nonobstant une protestation écrite du bailleur, a persisté à enfreindre son devoir de diligence ou à manquer d'égards envers les voisins.</w:t>
      </w:r>
    </w:p>
    <w:p>
      <w:r>
        <w:t>La résiliation prévue à l' art. 257f al. 3 CO suppose ainsi cumulativement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4C.306/2003 du 20 février 2004, reproduit in SJ 2004 I p. 439, consid. 2.1).</w:t>
      </w:r>
    </w:p>
    <w:p>
      <w:r>
        <w:t>En vertu de son devoir de diligence, le locataire est tenu d'user de la chose avec le soin nécessaire ( art. 257f al. 1 CO ) et doit avoir pour les voisins les égards qui leur sont dus ( art. 257f al. 2 CO ). La violation de ce devoir peut notamment consister dans le non-respect du repos nocturne (arrêt 4C.79/1998 du 4 juin 1998, reproduit in SJ 1999 I p. 25, consid. 2b p. 25). La violation du devoir de diligence n'est pas nécessairement le fait du locataire, lequel répond des actes de ses auxiliaires, soit notamment des personnes avec lesquelles il vit, visites, employés ou sous-locataires (cf. Lachat, Commentaire romand, n. 3 ad art. 257f et n. 6 ad art. 267 CO ).</w:t>
      </w:r>
    </w:p>
    <w:p>
      <w:r>
        <w:t>Pour justifier une résiliation anticipée, la violation persistante par le locataire de son devoir de diligence doit rendre le maintien du contrat insupportable, ce qui suppose une certaine gravité du manquement reproché au locataire. La question de savoir si le maintien du bail est devenue insupportable ne se détermine pas selon des critères abstraits, mais en fonction de l'ensemble des circonstances concrètes du cas d'espèce. Cet examen relève ainsi du pouvoir d'appréciation du juge ( art. 4 CC ; arrêt 4C.306/2003 du 20 février 2004, reproduit in SJ 2004 I p. 439, consid. 3.5).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132 III 758 consid. 3.3 p. 762).</w:t>
      </w:r>
    </w:p>
    <w:p>
      <w:r>
        <w:rPr>
          <w:b/>
        </w:rPr>
        <w:t>E. 2.3</w:t>
      </w:r>
    </w:p>
    <w:p>
      <w:r>
        <w:t>Il s'agit d'examiner si les conditions d'application de l' art. 257f CO sont remplies en l'espèce.</w:t>
      </w:r>
    </w:p>
    <w:p>
      <w:r>
        <w:rPr>
          <w:b/>
        </w:rPr>
        <w:t>E. 2.3.1</w:t>
      </w:r>
    </w:p>
    <w:p>
      <w:r>
        <w:t>Il ressort de l'état de fait retenu par la cour cantonale que la locataire a violé son devoir de diligence, compte tenu de différentes nuisances engendrées par ses clients, entre 1999 et 2004. Ces constatations lient le Tribunal fédéral, sauf à démontrer, de manière adéquate, que les faits ont été établis de façon manifestement inexacte (cf. consid. 2.1). A cet égard, la recourante ne pouvait se limiter à affirmer que la cour cantonale s'est « généralement contentée d'appréciation toutes générales et abstraites » ou « essentiellement basée sur des faits remontant à 2001, voire 2002 ».</w:t>
      </w:r>
    </w:p>
    <w:p>
      <w:r>
        <w:rPr>
          <w:b/>
        </w:rPr>
        <w:t>E. 2.3.2</w:t>
      </w:r>
    </w:p>
    <w:p>
      <w:r>
        <w:t>A plusieurs reprises, notamment les 24 janvier, 28 février et 11 juillet 2002, la bailleresse a averti la locataire qu'à défaut de rétablissement d'une situation conforme aux règles et usages locatifs, elle résilierait le bail.</w:t>
      </w:r>
    </w:p>
    <w:p>
      <w:r>
        <w:t>Sur ce point, la recourante reproche à la cour cantonale d'avoir pris en compte les avertissements donnés à la SNC A.________, lesquels seraient inefficaces puisque cette société avait cessé d'exister en 1998; ainsi, X.________ Sàrl n'aurait jamais reçu le moindre avertissement en raison de l'exploitation par elle de l'hôtel.</w:t>
      </w:r>
    </w:p>
    <w:p>
      <w:r>
        <w:t>La cour cantonale a constaté que les actifs et passifs de la SNC A.________ avaient été apportés à X.________ Sàrl, dont les associés sont V.________ et W.________, que les courriers adressés à la régie l'avaient été par X.________ Sàrl et qu'à une occasion, le conseil de X.________ Sàrl avait indiqué intervenir pour la SNC A.________.</w:t>
      </w:r>
    </w:p>
    <w:p>
      <w:r>
        <w:t>Il s'ensuit que même s'il a effectivement régné une certaine confusion - d'ailleurs entretenue par le propre conseil de la recourante - dans la manière de désigner formellement la bailleresse, dont les animateurs étaient les mêmes que ceux de la société dont elle a repris les actifs et passifs, la recourante ne peut de bonne foi prétendre ne pas avoir été atteinte par les avertissements. Preuve en est notamment qu'elle a réagi au moment où une procédure a été indûment diligentée contre la SNC. Si la désignation incorrecte de la bailleresse a certes aboutit à l'irrecevabilité des requêtes déposées par ou contre une personne n'ayant plus d'existence juridique, elle ne saurait influer sur la validité d'avertissements qui, dans les faits, ont été portés à la connaissance de la recourante.</w:t>
      </w:r>
    </w:p>
    <w:p>
      <w:r>
        <w:rPr>
          <w:b/>
        </w:rPr>
        <w:t>E. 2.3.3</w:t>
      </w:r>
    </w:p>
    <w:p>
      <w:r>
        <w:t>Les juges cantonaux ont retenu qu'en dépit du congé donné le 21 novembre 2001, les clients de la recourante avaient continué à se signaler par un comportement nocturne inadéquat, ce jusqu'au printemps 2004. La Cour de céans est liée par cette constatation, dont la recourante ne parvient pas à démontrer qu'elle serait manifestement inexacte. Celle-ci se contente en effet d'affirmer que les juges cantonaux n'auraient ni dit « en quoi la situation existant au 8 mars 2004 était encore de nature à rendre la poursuite du bail durablement intolérable », ni pris en compte « la réalité de la situation existant au jour de la notification du congé litigieux »; de la sorte, elle ne satisfait pas aux exigences de motivation requises.</w:t>
      </w:r>
    </w:p>
    <w:p>
      <w:r>
        <w:t>En particulier, la recourante reproche à la cour cantonale de s'être fondée sur les déclarations des témoins de l'intimée plutôt que des siens, qui auraient unanimement affirmé que « les modalités d'exploitation de l'hôtel étaient acceptables dès 2004 au plus tard ». Elle n'établit toutefois pas en quoi les précédents juges auraient abusé du large pouvoir dont ils disposent lorsqu'il s'agit d'apprécier les preuves, se contentant de se référer, sans même en citer les extraits prétendument pertinents, à des témoignages dont elle souhaiterait qu'ils aient une portée différente de celle que les juges cantonaux leur ont conféré.</w:t>
      </w:r>
    </w:p>
    <w:p>
      <w:r>
        <w:rPr>
          <w:b/>
        </w:rPr>
        <w:t>E. 2.3.4</w:t>
      </w:r>
    </w:p>
    <w:p>
      <w:r>
        <w:t>La cour cantonale a considéré que le maintien du bail était insupportable pour l'intimée. Sur la base de l'état de fait déterminant, l'on ne voit pas qu'elle ait ainsi abusé du pouvoir d'appréciation dont elle dispose en la matière. En particulier, l'on ne peut nier que les nuisances susdécrites aient revêtu un certain degré de gravité.</w:t>
      </w:r>
    </w:p>
    <w:p>
      <w:r>
        <w:t>Cela étant, c'est en vain que la recourante reproche à la cour cantonale de ne pas avoir tenu compte d'éléments qui auraient dû être pris en considération. En effet, lorsqu'elle plaide que la bailleresse porterait une importante part de responsabilité dans les difficultés d'exploitation de l'hôtel pour avoir négligé son obligation d'entretien, elle s'écarte des faits constatés souverainement; à cet égard, la cour cantonale a au demeurant retenu que la locataire avait accepté les locaux dans l'état dans lequel ils se trouvaient, en contrepartie d'un bail de longue durée.</w:t>
      </w:r>
    </w:p>
    <w:p>
      <w:r>
        <w:t>Enfin, que la recourante prétende avoir déployé des efforts pour gérer la situation ne change rien au fait qu'il a été établi que les nuisances, causées par des personnes dont elle répondait, avaient perduré jusqu'au printemps 2004; il n'a pas échappé aux juges cantonaux que durant cette année-là, la locataire avait recouru aux services d'un ancien gendarme pour surveiller l'hôtel, mais la date de l'engagement n'a pas pu être établie avec précision; que cette mesure ait, le cas échéant, été de nature à améliorer la situation postérieurement à la résiliation du bail n'est pas déterminant.</w:t>
      </w:r>
    </w:p>
    <w:p>
      <w:r>
        <w:rPr>
          <w:b/>
        </w:rPr>
        <w:t>E. 2.3.5</w:t>
      </w:r>
    </w:p>
    <w:p>
      <w:r>
        <w:t>En dernier lieu, le respect du préavis de trente jours pour la fin d'un mois est incontestable et incontesté.</w:t>
      </w:r>
    </w:p>
    <w:p>
      <w:r>
        <w:rPr>
          <w:b/>
        </w:rPr>
        <w:t>E. 2.3.6</w:t>
      </w:r>
    </w:p>
    <w:p>
      <w:r>
        <w:t>En définitive, les conditions d'application de l' art. 257f CO sont donc remplies. Quoi qu'en dise la recourante, les juges cantonaux n'ont ainsi pas violé le droit fédéral en considérant que la bailleresse était fondée à mettre un terme au bail pour le 30 avril 2004. En conséquence, le recours en matière civile doit être rejeté.</w:t>
      </w:r>
    </w:p>
    <w:p>
      <w:r>
        <w:rPr>
          <w:b/>
        </w:rPr>
        <w:t>E. 3</w:t>
      </w:r>
    </w:p>
    <w:p>
      <w:r>
        <w:t>Dans la même écriture, la recourante interjette également un recours constitutionnel subsidiaire. Invoquant les art. 9, 29 et 30 Cst. , elle reproche à la cour cantonale d'avoir « arbitrairement abusé de son pouvoir d'appréciation, respectivement commis un déni de justice formel ». Or, il y a lieu de rappeler qu'il est désormais possible, même en matière civile, d'invoquer les griefs d'ordre constitutionnel dans le recours ordinaire, de sorte qu'il n'est plus question de former un recours spécial pour ce type de griefs, lorsque le recours ordinaire est ouvert (Corboz, Introduction à la nouvelle loi sur le Tribunal fédéral, SJ 2006 II p. 319 ss, p. 353). Dès lors que la voie du recours en matière civile était en l'occurrence ouverte, c'est dans ce recours que la recourante aurait dû faire valoir les griefs tirés de la violation des dispositions susmentionnées et le recours constitutionnel, qui est subsidiaire ( art. 113 LTF ), est donc irrecevable.</w:t>
      </w:r>
    </w:p>
    <w:p>
      <w:r>
        <w:rPr>
          <w:b/>
        </w:rPr>
        <w:t>E. 4</w:t>
      </w:r>
    </w:p>
    <w:p>
      <w:r>
        <w:t>Compte tenu de l'issue du litige, les frais et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