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4A_295/2023 vom 23. Juni 2023</w:t>
      </w:r>
    </w:p>
    <w:p>
      <w:r>
        <w:t>Bundesgericht, 2023-06-23, DE</w:t>
      </w:r>
    </w:p>
    <w:p>
      <w:r>
        <w:rPr>
          <w:b/>
        </w:rPr>
        <w:t xml:space="preserve">Quelle: </w:t>
      </w:r>
      <w:r>
        <w:t>https://mcp.opencaselaw.ch/entscheid/bger_4A_295_2023</w:t>
      </w:r>
    </w:p>
    <w:p>
      <w:r>
        <w:t>FR: TF 4A_295/2023 du 23 juin 2023</w:t>
      </w:r>
    </w:p>
    <w:p>
      <w:r>
        <w:t>IT: TF 4A_295/2023 del 23 giugno 2023</w:t>
      </w:r>
    </w:p>
    <w:p>
      <w:pPr>
        <w:pStyle w:val="Heading2"/>
      </w:pPr>
      <w:r>
        <w:t>Erwägungen</w:t>
      </w:r>
    </w:p>
    <w:p>
      <w:r>
        <w:rPr>
          <w:b/>
        </w:rPr>
        <w:t>E. 1</w:t>
      </w:r>
    </w:p>
    <w:p>
      <w:r>
        <w:t>A.________ (Gesuchsteller, Beschwerdeführer) reichte dem Handelsgericht des Kantons Zürich mit Eingabe vom 9. Februar 2023 ein Gesuch um Anordnung vorsorglicher Massnahmen gegen die B.________ AG (Gesuchsgegnerin, Beschwerdegegnerin) ein.</w:t>
      </w:r>
    </w:p>
    <w:p>
      <w:r>
        <w:t>Mit Verfügung vom 10. Februar 2023 hiess die Einzelrichterin das Gesuch teilweise superprovisorisch gut.</w:t>
      </w:r>
    </w:p>
    <w:p>
      <w:r>
        <w:t>Mit Urteil vom 2. Mai 2023 wies die Einzelrichterin am Handelsgericht des Kantons Zürich das Massnahmegesuch ab.</w:t>
      </w:r>
    </w:p>
    <w:p>
      <w:r>
        <w:t>Mit Eingabe vom 5. Juni 2023 beantragt der Beschwerdeführer dem Bundesgericht im Wesentlichen, es sei das Urteil der Einzelrichterin am Handelsgericht des Kantons Zürich vom 2. Mai 2023 aufzuheben und es seien die beantragten vorsorglichen Massnahmen anzuordnen.</w:t>
      </w:r>
    </w:p>
    <w:p>
      <w:r>
        <w:t>Mit Verfügung vom 9. Juni 2023 wies das präsidierende Mitglied das Gesuch des Beschwerdeführers um aufschiebende Wirkung ab.</w:t>
      </w:r>
    </w:p>
    <w:p>
      <w:r>
        <w:t>Auf die Einholung von Vernehmlassungen wurde verzichtet.</w:t>
      </w:r>
    </w:p>
    <w:p>
      <w:r>
        <w:rPr>
          <w:b/>
        </w:rPr>
        <w:t>E. 2.1</w:t>
      </w:r>
    </w:p>
    <w:p>
      <w:r>
        <w:t>Entscheide über vorsorgliche Massnahmen gelten nur als Endentscheide,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Dies gilt nicht nur, wenn eine vorsorgliche Massnahme erlassen, sondern auch wenn eine solche verweigert wird (Urteile 4A_447/2022 vom 11. November 2022 E. 1.2; 4A_373/2022 vom 27. Oktober 2022 E. 1.2; 4A_427/2021 vom 20. Dezember 2021 E. 1.2.2; je mit Hinweisen).</w:t>
      </w:r>
    </w:p>
    <w:p>
      <w:r>
        <w:t>Die vom Beschwerdeführer beantragten Massnahmen könnten nur für die Dauer eines Hauptverfahrens Bestand haben. Es handelt sich daher beim angefochtenen Entscheid um einen Zwischenentscheid im Sinne von Art. 93 BGG .</w:t>
      </w:r>
    </w:p>
    <w:p>
      <w:r>
        <w:rPr>
          <w:b/>
        </w:rPr>
        <w:t>E. 2.2</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143 III 416 E. 1.3; 141 III 80 E. 1.2; je mit Hinweisen). Rein tatsächliche Nachteile wie die Verlängerung oder Verteuerung des Verfahrens reichen nicht aus ( BGE 144 III 475 E. 1.2; 142 III 798 E. 2.2; 141 III 80 E. 1.2; je mit Hinweisen).</w:t>
      </w:r>
    </w:p>
    <w:p>
      <w:r>
        <w:t>Die selbständige Anfechtbarkeit von Zwischenentscheiden bildet aus prozessökonomischen Gründen eine Ausnahme vom Grundsatz, dass sich das Bundesgericht mit jeder Angelegenheit nur einmal befassen soll ( BGE 144 III 475 E. 1.2; 142 III 798 E. 2.2; 141 III 80 E. 1.2). Die Ausnahme ist restriktiv zu handhaben ( BGE 144 III 475 E. 2.1; 138 III 94 E. 2.2). Es obliegt zudem der beschwerdeführenden Partei darzutun, dass ein nicht wieder gutzumachender Nachteil droht ( BGE 144 III 475 E. 1.2; 142 III 798 E. 2.2 mit Hinweisen).</w:t>
      </w:r>
    </w:p>
    <w:p>
      <w:r>
        <w:rPr>
          <w:b/>
        </w:rPr>
        <w:t>E. 2.3</w:t>
      </w:r>
    </w:p>
    <w:p>
      <w:r>
        <w:t>Der Beschwerdeführer geht zu Unrecht davon aus, es handle sich beim angefochtenen Entscheid um einen Endentscheid im Sinne von Art. 90 BGG . Er zeigt in der Folge mit keinem Wort auf, inwiefern ihm ein Nachteil rechtlicher Natur drohen soll, der auch durch einen für ihn günstigen Entscheid in der Zukunft nicht mehr behoben werden könnte. Dass die Voraussetzungen für eine ausnahmsweise Anfechtbarkeit eines Zwischenentscheids erfüllt wären, springt auch nicht offensichtlich in die Augen.</w:t>
      </w:r>
    </w:p>
    <w:p>
      <w:r>
        <w:t>Auf die Beschwerde ist daher im vereinfachten Verfahren nach Art. 108 Abs. 1 lit. a BGG nicht einzutreten.</w:t>
      </w:r>
    </w:p>
    <w:p>
      <w:r>
        <w:rPr>
          <w:b/>
        </w:rPr>
        <w:t>E. 3</w:t>
      </w:r>
    </w:p>
    <w:p>
      <w:r>
        <w:t>Der Beschwerdeführer wird bei diesem Verfahrensausgang kostenpflichtig ( Art. 66 Abs. 1 BGG ). Die Beschwerdegegnerin hat keinen Anspruch auf eine Parteientschädigung,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