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4A_295/2017 vom 25. April 2018</w:t>
      </w:r>
    </w:p>
    <w:p>
      <w:r>
        <w:t>Bundesgericht, 2018-04-25, FR</w:t>
      </w:r>
    </w:p>
    <w:p>
      <w:r>
        <w:rPr>
          <w:b/>
        </w:rPr>
        <w:t xml:space="preserve">Quelle: </w:t>
      </w:r>
      <w:r>
        <w:t>https://mcp.opencaselaw.ch/entscheid/bger_4A_295_2017</w:t>
      </w:r>
    </w:p>
    <w:p>
      <w:r>
        <w:t>FR: TF 4A_295/2017 du 25 avril 2018</w:t>
      </w:r>
    </w:p>
    <w:p>
      <w:r>
        <w:t>IT: TF 4A_295/2017 del 25 aprile 2018</w:t>
      </w:r>
    </w:p>
    <w:p>
      <w:pPr>
        <w:pStyle w:val="Heading2"/>
      </w:pPr>
      <w:r>
        <w:t>Erwägungen</w:t>
      </w:r>
    </w:p>
    <w:p>
      <w:r>
        <w:rPr>
          <w:b/>
        </w:rPr>
        <w:t>E. 1.1</w:t>
      </w:r>
    </w:p>
    <w:p>
      <w:r>
        <w:t>Interjeté en temps utile (art. 100 al. 1 et 45 al. 1 LTF) par le bailleur qui a succombé dans ses conclusions ( art. 76 LTF ) tendant à obtenir l'expulsion de ses fermiers, ainsi que des mesures d'exécution directe par la procédure de protection dans les cas clairs ( art. 72 al. 1 LTF ), et dirigé contre une décision finale ( art. 90 LTF ) rendue sur appel par le tribunal supérieur du canton ( art. 75 LTF ) dans une affaire pécuniaire dont la valeur litigieuse atteint le seuil de 15'000 fr. requis en matière de bail à loyer ( art. 74 al. 1 let. a LTF ; arrêt 4A_273/2012 du 30 octobre 2012 consid. 1.2.2, non publié in ATF 138 III 620 ), le recours est en principe recevable.</w:t>
      </w:r>
    </w:p>
    <w:p>
      <w:r>
        <w:rPr>
          <w:b/>
        </w:rPr>
        <w:t>E. 1.2</w:t>
      </w:r>
    </w:p>
    <w:p>
      <w:r>
        <w:t>Les griefs de fait formulés par le recourant reposant pour l'essentiel sur le déroulement de la procédure, l'état de fait a été complété d'office ( art. 105 al. 2 LTF ).</w:t>
      </w:r>
    </w:p>
    <w:p>
      <w:r>
        <w:rPr>
          <w:b/>
        </w:rPr>
        <w:t>E. 2</w:t>
      </w:r>
    </w:p>
    <w:p>
      <w:r>
        <w:t>La procédure de protection dans les cas clairs n'étant pas une procédure de mesures provisionnelles au sens de l' art. 98 LTF , le Tribunal fédéral revoit librement l'application du droit ( art. 95 let. a LTF ; ATF 138 III 620 consid. 5, 728 consid. 3.2 p. 734).</w:t>
      </w:r>
    </w:p>
    <w:p>
      <w:r>
        <w:rPr>
          <w:b/>
        </w:rPr>
        <w:t>E. 3</w:t>
      </w:r>
    </w:p>
    <w:p>
      <w:r>
        <w:t>Aux termes de l' art. 257 al. 1 et 3 CPC , relatif à la procédure de protection dans les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3.1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 ATF 138 III 123 consid. 2.1.2,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141 III 23 consid. 3.2; 138 III 123 consid. 2.1.2; arrêt 4A_273/2012 du 30 octobre 2012 consid. 5.1.2, non publié in ATF 138 III 620 ).</w:t>
      </w:r>
    </w:p>
    <w:p>
      <w:r>
        <w:t>Si le juge parvient à la conclusion que ces conditions sont remplies, le demandeur obtient gain de cause par une décision ayant l'autorité de la chose jugée et la force exécutoire ( ATF 138 III 620 consid. 5.1.1 p. 623 en haut).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140 III 315 consid. 5).</w:t>
      </w:r>
    </w:p>
    <w:p>
      <w:r>
        <w:rPr>
          <w:b/>
        </w:rPr>
        <w:t>E. 3.2</w:t>
      </w:r>
    </w:p>
    <w:p>
      <w:r>
        <w:t>La procédure de protection dans les cas clairs est soumise à la procédure sommaire des art. 248 ss CPC , plus particulièrement aux art. 252 à 256 CPC. La maxime des débats est applicable ( art. 55 al. 1 CPC ), sauf dans les deux cas prévus par l' art. 255 CPC (lequel est réservé par l' art. 55 al. 2 CPC ), qui ne sont pas pertinents en l'espèce.</w:t>
      </w:r>
    </w:p>
    <w:p>
      <w:r>
        <w:t>Dans l'application de la maxime des débats, il y a toutefois lieu de tenir compte des spécificités de la procédure de protection dans les cas clairs, ainsi que de l'articulation des voies de droit (arrêt 4A_218/2017 du 14 juillet 2017 consid. 3.1).</w:t>
      </w:r>
    </w:p>
    <w:p>
      <w:r>
        <w:rPr>
          <w:b/>
        </w:rPr>
        <w:t>E. 3.2.1</w:t>
      </w:r>
    </w:p>
    <w:p>
      <w:r>
        <w:t>En première instance, la requête doit en règle générale être formée par écrit ( art. 252 al. 2 CPC ). La réponse devrait aussi, en dérogation à l' art. 253 CPC , être formulée par écrit;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 art. 235 al. 1 let . d et al. 2 CPC par analogie). Lorsque la partie défenderesse ne comparaît pas à l'audience, le juge doit, sous réserve de l' art. 153 al. 2 CPC , statuer sur la base des actes du demandeur et du dossier ( art. 234 CPC par analogie; arrêt 4A_218/2017 précité consid. 3.1.1).</w:t>
      </w:r>
    </w:p>
    <w:p>
      <w:r>
        <w:rPr>
          <w:b/>
        </w:rPr>
        <w:t>E. 3.2.2</w:t>
      </w:r>
    </w:p>
    <w:p>
      <w:r>
        <w:t>La cour d'appel revoit librement l'application du droit ( art. 57 CPC ), n'étant liée ni par la motivation du tribunal de première instance, ni par celle des parties. Si elle ne peut pas approuver le raisonnement du tribunal de première instance sur le point litigieux, elle doit procéder à une substitution de motifs, qu'il lui incombe de motiver (arrêt 4A_376/2016 du 2 décembre 2016 consid. 3.2.2).</w:t>
      </w:r>
    </w:p>
    <w:p>
      <w:r>
        <w:rPr>
          <w:b/>
        </w:rPr>
        <w:t>E. 3.2.3</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p. 89; 135 III 397 consid. 1.4).</w:t>
      </w:r>
    </w:p>
    <w:p>
      <w:r>
        <w:rPr>
          <w:b/>
        </w:rPr>
        <w:t>E. 3.3.1</w:t>
      </w:r>
    </w:p>
    <w:p>
      <w:r>
        <w:t>Ces principes de procédure sont valables de manière générale pour la procédure de protection dans les cas clairs. Ils sont également applicables lorsque la requête tend à obtenir l'expulsion de locataires ou de fermiers, avec les précisions suivantes qui découlent du droit du bail.</w:t>
      </w:r>
    </w:p>
    <w:p>
      <w:r>
        <w:t>Selon la jurisprudence, l'action en contestation du congé formée par les locataires (ou fermiers) ne fait pas obstacle à l'action postérieure en expulsion selon l' art. 257 CPC , intentée par le bailleur ( ATF 141 III 262 consid. 3).</w:t>
      </w:r>
    </w:p>
    <w:p>
      <w:r>
        <w:t>L'action en expulsion pour défaut de paiement du loyer au sens de l' art. 257d CO , comme celle pour défaut de paiement du fermage au sens de l' art. 282 CO , selon la procédure de protection dans les cas clairs ( art. 257 CPC ), présuppose que le bail ait valablement pris fin, puisque l'extinction du bail est une condition du droit à la restitution des locaux ( art. 267 al. 1 CO , respectivement art. 299 al. 1 CO ).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 Les conditions de l' art. 257 al. 1 CPC s'appliquent également à cette question préjudicielle ( ATF 141 III 262 consid. 3.2 in fine; 142 III 515 consid. 2.2.4</w:t>
      </w:r>
    </w:p>
    <w:p>
      <w:r>
        <w:t>in fine ).</w:t>
      </w:r>
    </w:p>
    <w:p>
      <w:r>
        <w:rPr>
          <w:b/>
        </w:rPr>
        <w:t>E. 3.3.2</w:t>
      </w:r>
    </w:p>
    <w:p>
      <w:r>
        <w:t>En particulier, conformément à l' art. 266l al. 2 CO , respectivement à l' art. 298 al. 2 CO , pour que la résiliation soit valable, le bailleur doit donner le congé en utilisant une formule agréée par le canton et qui indique au locataire, respectivement au fermier, la manière dont il doit procéder s'il entend contester le congé (et, en général, demander la prolongation du bail). L'inobservation de cette condition entraîne la nullité du congé ( art. 266o CO , respectivement art. 298 al. 3 CO ).</w:t>
      </w:r>
    </w:p>
    <w:p>
      <w:r>
        <w:t>La nullité pour inobservation de cette condition de forme, comme la nullité pour vice de forme du contrat en général ( art. 11 al. 2 CO ) et la nullité pour un vice touchant au contenu du contrat ( art. 20 al. 1 CO ), est une question de droit que le tribunal doit vérifier d'office ( art. 57 CPC et 106 al. 1 LTF), pour autant que, puisque la maxime des débats ( art. 55 al. 1 CPC ) est applicable dans la procédure de l' art. 257 CPC , les faits sur lesquels elle repose aient été allégués par les parties et prouvés (en cas de vice de forme, cf. ATF 90 II 34 consid. 3 p. 38; en cas de contenu illicite ou contraire aux moeurs, cf. ATF 62 II 108 consid. 1 p. 109; cf. aussi GAUCH/SCHLUEP/SCHMID, Schweizerisches Obligationenrecht, Allgemeiner Teil, 10e éd., 2014, n. 681; JEAN-FRANÇOIS POUDRET, Commentaire de la loi d'organisation judiciaire, 1990, Vol. II, no 3.6.4 ad art. 63 aOJ p. 525). Ces faits sont des faits dirimants (</w:t>
      </w:r>
    </w:p>
    <w:p>
      <w:r>
        <w:t>rechtshindernde Tatsachen ), dont le fardeau de la preuve (</w:t>
      </w:r>
    </w:p>
    <w:p>
      <w:r>
        <w:t>Beweislast ) incombe à la partie adverse du titulaire du droit (arrêt 4A_639/2016 du 1er septembre 2017 consid. 6.1 et les arrêts cités); il n'est pas nécessaire que le défendeur soulève formellement une exception (</w:t>
      </w:r>
    </w:p>
    <w:p>
      <w:r>
        <w:t>Einrede ) (ERNST A. KRAMER, Berner Kommentar, 1991, no 316 ad art. 19-20 CO ). Le tribunal n'a donc pas à rechercher d'office ces faits (KRAMER, op. cit., no 317 ad art. 19-20 CO ). La formule selon laquelle " la nullité peut être invoquée en tout temps devant toute autorité et doit être constatée d'office " ne s'applique pas dans le domaine des contrats et de leur résiliation lorsque la maxime des débats est applicable (cf. arrêt 4A_577/2010 du 21 mars 2011 consid. 4.2 et 4.3; pour la nullité absolue d'une décision administrative, cf. ATF 138 II 501 consid. 3.1; avec des réserves, pour la nullité d'une décision en matière d'arbitrage, cf. l'arrêt 4A_407/2017 du 20 novembre 2017 consid. 2.2.2).</w:t>
      </w:r>
    </w:p>
    <w:p>
      <w:r>
        <w:t>Il découle de ces principes qu'en première instance, le locataire (ou le fermier) doit contester avoir reçu la notification de la formule officielle que le bailleur allègue lui avoir adressée; à défaut, le bailleur demandeur n'a pas à en apporter la preuve en produisant une copie de dite formule (art. 150 al. 1</w:t>
      </w:r>
    </w:p>
    <w:p>
      <w:r>
        <w:t>in fine CPC).</w:t>
      </w:r>
    </w:p>
    <w:p>
      <w:r>
        <w:t>Tant en appel que dans le recours en matière civile, le tribunal applique le droit d'office ( art. 57 CPC , respectivement art. 106 al. 1 LTF ), sur la base des faits allégués et prouvés.</w:t>
      </w:r>
    </w:p>
    <w:p>
      <w:r>
        <w:rPr>
          <w:b/>
        </w:rPr>
        <w:t>E. 4</w:t>
      </w:r>
    </w:p>
    <w:p>
      <w:r>
        <w:t>En l'espèce, la question de la nullité pour défaut de notification de la formule officielle de résiliation est une question de droit, que le Tribunal fédéral examine d'office ( art. 106 al. 1 LTF ), mais uniquement sur la base des faits allégués, puisque la maxime des débats ( art. 55 al. 1 CPC ) est applicable dans la procédure de l' art. 257 CPC , et prouvés.</w:t>
      </w:r>
    </w:p>
    <w:p>
      <w:r>
        <w:t>Il a été retenu que le bailleur a allégué que, par courriers recommandés du 27 juillet 2016 adressés aux fermiers, il a résilié le bail pour le 31 août 2016, en indiquant que la formule officielle destinée à chaque locataire était jointe à ses envois. Il a produit des copies desdits courriers en procédure, mais pas les copies des formules officielles.</w:t>
      </w:r>
    </w:p>
    <w:p>
      <w:r>
        <w:t>Les fermiers, qui au demeurant étaient assistés d'un avocat, n'ont pas contesté avoir reçu la formule officielle, ni par écrit, ni par oral lors de l'audience de première instance. Ils y ont uniquement invoqué que le cas n'était pas clair parce que les pièces versées à la procédure n'établissaient pas la créance du bailleur. D'ailleurs, en appel, alors que le bailleur avait réitéré dans son exposé des faits qu'il avait annexé la formule officielle aux courriers recommandés, les fermiers intimés ont formellement admis ce fait. Dans leur réponse au présent recours, les fermiers se bornent à affirmer que " peu importe qu'[ils] aient contesté ou non les faits puisque la procédure de protection dans les cas clairs requiert que le juge se prononce sur la base des pièces produites en sa possession ".</w:t>
      </w:r>
    </w:p>
    <w:p>
      <w:r>
        <w:t>Force est ainsi de constater que non seulement les fermiers n'ont pas allégué le défaut de notification de la formule officielle (fait dirimant), mais qu'ils n'ont pas contesté, ni en première instance, ni en procédure d'appel, l'allégué du demandeur selon lequel il avait joint la formule officielle à chacun de ses courriers recommandés de résiliation. La maxime des débats étant applicable à la procédure de protection dans les cas clairs, ce fait non contesté est ainsi un fait prouvé. C'est donc à raison que le bailleur recourant soutient que la notification de la formule litigieuse est un fait non litigieux et donc que la première condition de l' art. 257 al. 1 let. a CPC est à cet égard réalisée.</w:t>
      </w:r>
    </w:p>
    <w:p>
      <w:r>
        <w:t>Lorsque la cour cantonale considère que la formule officielle de résiliation aurait dû être produite par le bailleur à l'appui de sa requête en expulsion - pour qu'elle puisse examiner la question de la nullité de la résiliation -, elle méconnaît que la procédure de protection dans les cas clairs est soumise à la maxime des débats et que, faute de contestation de la notification de la formule officielle par les défendeurs, celle-ci est censée prouvée. Lorsque les fermiers intimés font valoir devant le Tribunal fédéral que " peu importe qu'[ils] aient contesté ou non les faits puisque la procédure de protection dans les cas clairs requiert que le juge se prononce sur la base des pièces produites en sa possession ", ils méconnaissent également les principes découlant de la maxime des débats et confondent celle-ci avec la règle régissant les moyens de preuve généralement admissibles en procédure sommaire ( art. 254 al. 1 CPC ).</w:t>
      </w:r>
    </w:p>
    <w:p>
      <w:r>
        <w:t>Il s'ensuit que le recours doit être admis et l'arrêt attaqué annulé. Faute de toute décision de la cour cantonale sur le bien-fondé de la créance réclamée par le bailleur et faute de toute constatation de l'arrêt cantonal à ce sujet ( art. 105 al. 1 LTF ), la cause doit être renvoyée à la cour cantonale pour examen de ce seul point, contesté par les fermiers en première instance.</w:t>
      </w:r>
    </w:p>
    <w:p>
      <w:r>
        <w:t>Il est donc superflu d'examiner les autres griefs du recourant ( art. 151, 55 et 56 CPC en relation avec l' art. 317 CPC ). Quant aux intimés, ils se sont pour l'essentiel limités à contester les griefs du recourant et le sort de leur grief en relation avec l' art. 257 CPC a été scellé ci-dessus.</w:t>
      </w:r>
    </w:p>
    <w:p>
      <w:r>
        <w:rPr>
          <w:b/>
        </w:rPr>
        <w:t>E. 5</w:t>
      </w:r>
    </w:p>
    <w:p>
      <w:r>
        <w:t>Au vu de ce qui précède, les frais de la procédure et les dépens doivent être mis à la charge des fermiers intimés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