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4A_295/2010 vom 26. Juli 2010</w:t>
      </w:r>
    </w:p>
    <w:p>
      <w:r>
        <w:t>Bundesgericht, 2010-07-26, FR</w:t>
      </w:r>
    </w:p>
    <w:p>
      <w:r>
        <w:rPr>
          <w:b/>
        </w:rPr>
        <w:t xml:space="preserve">Quelle: </w:t>
      </w:r>
      <w:r>
        <w:t>https://mcp.opencaselaw.ch/entscheid/bger_4A_295_2010</w:t>
      </w:r>
    </w:p>
    <w:p>
      <w:r>
        <w:t>FR: TF 4A_295/2010 du 26 juillet 2010</w:t>
      </w:r>
    </w:p>
    <w:p>
      <w:r>
        <w:t>IT: TF 4A_295/2010 del 26 luglio 2010</w:t>
      </w:r>
    </w:p>
    <w:p>
      <w:pPr>
        <w:pStyle w:val="Heading2"/>
      </w:pPr>
      <w:r>
        <w:t>Erwägungen</w:t>
      </w:r>
    </w:p>
    <w:p>
      <w:r>
        <w:rPr>
          <w:b/>
        </w:rPr>
        <w:t>E. 1.1</w:t>
      </w:r>
    </w:p>
    <w:p>
      <w:r>
        <w:t>Les contestations portant sur l'usage d'une chose louée sont de nature pécuniaire, en sorte qu'elles ne peuvent être soumises au Tribunal fédéral, par un recours en matière civile, que si elles atteignent la valeur litigieuse prescrite par la loi. En matière de droit du bail à loyer, cette valeur s'élève à 15'000 fr. ( art. 74 al. 1 let. a LTF ). En cas de différend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4A_408/2009 du 15 décembre 2009 consid. 1.1; arrêt 4A_130/2008 du 26 mai 2008 consid. 1.1, in SJ 2008 I p. 461). Les loyers annuels des deux studios et de la place de stationnement remis à bail au demandeur s'élèvent au total à 9'564 fr., si bien que la valeur litigieuse, correspondant à trois ans de loyer, est supérieure au montant de 15'000 fr. exigé par l' art. 74 al. 1 let. a LTF .</w:t>
      </w:r>
    </w:p>
    <w:p>
      <w:r>
        <w:t>Pour le surplus, émanant de la partie défenderesse qui a entièrement succombé en instance cantonale ( art. 76 al. 1 LTF ), dirigé contre un arrêt final ( art. 90 LTF ) rendu en matière civile ( art. 72 al. 1 LTF ) par une autorité cantonale de dernière instance ( art. 75 LTF ), le recours est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In casu, la recourante affirme que la Chambre d'appel a constaté de manière inexacte les faits sur un point précis (cf. art. 97 al. 1 et 105 al. 2 LTF). A l'en croire, dès l'instant où l'appartement occupé par l'intimé est calme en raison de son étage élevé, il devait être fait abstraction que le bâtiment de la rue de Contamines 35 se situe dans un environnement bruyant, ce qui aurait permis d'admettre la comparaison avec les objets décrits dans les fiches nos 21 et 34 de la bailleresse. Or savoir quels sont les éléments de comparaison qui présentent les mêmes caractéristiques au sens de l' art. 11 al. 1 OBLF que le logement litigieux est une question de droit, nullement une question de fait. Le moyen manque sa cible. De toute façon, les objets nos 21 et 34 n'ont pas été écartés parce que ce sont des appartements calmes, mais bien parce qu'ils se trouvent dans un quartier calme et résidentiel, à savoir dans un environnement privilégié (cf. arrêt attaqué consid. 4.3 p. 13).</w:t>
      </w:r>
    </w:p>
    <w:p>
      <w:r>
        <w:rPr>
          <w:b/>
        </w:rPr>
        <w:t>E. 1.4</w:t>
      </w:r>
    </w:p>
    <w:p>
      <w:r>
        <w:t>Le Tribunal fédéral ne peut aller au-delà des conclusions des parties ( art. 107 al. 1 LTF ). Toute conclusion nouvelle est irrecevable ( art. 99 al. 2 LTF ).</w:t>
      </w:r>
    </w:p>
    <w:p>
      <w:r>
        <w:rPr>
          <w:b/>
        </w:rPr>
        <w:t>E. 2</w:t>
      </w:r>
    </w:p>
    <w:p>
      <w:r>
        <w:t>Se prévalant de la transgression des art. 9 et 29 al. 2 Cst. , 8 CC et 274d al. 3 CO, la recourante soutient que la cour cantonale a fait bon marché de son droit à la preuve. Elle rappelle qu'elle a produit trente-trois fiches comparatives, lesquelles ne constitueraient que de pures offres de preuve, dont le contenu devait pouvoir être complété par des mesures d'instruction. De telles mesures auraient pu permettre de pallier l'imprécision de certaines fiches. Plus particulièrement, les magistrats genevois auraient enfreint le droit fédéral en écartant pour défaut de précisions les fiches nos 14, 15, 19, 34 et 48, sans avoir ordonné des transports sur place, l'audition des propriétaires et gérants des immeubles concernés ou sans avoir exhorté la bailleresse à fournir des données complémentaires.</w:t>
      </w:r>
    </w:p>
    <w:p>
      <w:r>
        <w:rPr>
          <w:b/>
        </w:rPr>
        <w:t>E. 2.1</w:t>
      </w:r>
    </w:p>
    <w:p>
      <w:r>
        <w:t>Le grief, en tant qu'il a trait à une violation des art. 9 et 29 al. 2 Cst. , est dépourvu de toute motivation claire et détaillée. Ce volet de la critique est ainsi ipso facto irrecevable ( art. 106 al. 2 LTF ).</w:t>
      </w:r>
    </w:p>
    <w:p>
      <w:r>
        <w:rPr>
          <w:b/>
        </w:rPr>
        <w:t>E. 2.2.1</w:t>
      </w:r>
    </w:p>
    <w:p>
      <w:r>
        <w:t>Le moyen tiré de la violation du droit à la preuve découlant de l' art. 8 CC n'a, en l'occurrence, pas de portée propre, mais se confond avec le grief de la violation de l' art. 274d al. 3 CO (arrêt 4C.199/2000 du 21 décembre 2000 consid. 2c, in SJ 2001 I p. 278; arrêt 4C.161/1997 du 18 mai 1998 consid. 2b, in SJ 1998 p. 645 consid. 2b).</w:t>
      </w:r>
    </w:p>
    <w:p>
      <w:r>
        <w:rPr>
          <w:b/>
        </w:rPr>
        <w:t>E. 2.2.2</w:t>
      </w:r>
    </w:p>
    <w:p>
      <w:r>
        <w:t>A teneur de l' art. 274d al. 3 CO , le juge établit d'office les faits et apprécie librement les preuves; les parties sont tenues de lui présenter toutes les pièces nécessaires à l'appréciation du litige.</w:t>
      </w:r>
    </w:p>
    <w:p>
      <w:r>
        <w:t>Selon la jurisprudence, cette norme instaure une maxime inquisitoriale sociale, laquelle ne constitue cependant pas une maxime officielle absolue.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La maxime inquisitoire qui a cours en droit du bail ne permet pas d'étendre ad libitum la procédure probatoire en recueillant toutes les preuves possibles; elle n'exclut nullement une appréciation anticipée des preuves, à l'issue de laquelle le juge renonce à en administrer de supplémentaires parce qu'il dispose déjà des éléments nécessaires pour statuer ( ATF 136 III 74 consid. 3.1 p. 80; 125 III 231 consid. 4a p. 238).</w:t>
      </w:r>
    </w:p>
    <w:p>
      <w:r>
        <w:rPr>
          <w:b/>
        </w:rPr>
        <w:t>E. 2.2.3</w:t>
      </w:r>
    </w:p>
    <w:p>
      <w:r>
        <w:t>Il sied maintenant d'examiner si, par application de l' art. 274d al. 3 CO , devaient être ordonnées des inspections locales, voire l'audition de propriétaires et de gérants d'immeubles ou encore si la bailleresse devait être invitée formellement à fournir d'autres éléments, cela afin que les contenus de cinq fiches non retenues par l'autorité cantonale (i. e. nos 14, 15, 19, 34 et 48) soient complétés.</w:t>
      </w:r>
    </w:p>
    <w:p>
      <w:r>
        <w:t>En ce qui concerne tout d'abord la fiche n° 19, il a été constaté ( art. 105 al. 1 LTF ) qu'elle n'indiquait pas la situation de l'immeuble où se trouve l'objet, ni l'état des installations électriques et la qualité du vitrage du logement, pas plus que le taux hypothécaire sur lequel le loyer a été fixé. L'absence de toutes ces données rend cette fiche totalement inutilisable, de sorte que la cour cantonale n'a en rien transgressé l' art. 274d al. 3 CO en l'écartant.</w:t>
      </w:r>
    </w:p>
    <w:p>
      <w:r>
        <w:t>Les fiches nos 15 et 48 ne précisent pas si les installations électriques de ces appartements sont anciennes ou récentes, si le vitrage est simple ou double et sur la base de quels taux hypothécaires les loyers ont été arrêtés. La totalité de ces manquements avaient été relevés par le Tribunal des baux et loyers au considérant 6 de son jugement du 11 mai 2009 (p. 10 in medio et p. 11 in principio). On voit donc que la bailleresse, dûment alertée sur les défauts de ces deux fiches, avait le loisir de les compléter lorsque la cause était pendante devant la Chambre d'appel en demandant directement des informations supplémentaires aux auteurs de ces documents. Elle y a renoncé. La cour cantonale, dans de telles circonstances, n'avait pas à ordonner des mesures probatoires. Aucune violation de l' art. 274d CO n'entre en ligne de compte.</w:t>
      </w:r>
    </w:p>
    <w:p>
      <w:r>
        <w:t>Quant à la fiche no 34, il a été retenu que l'on ignore l'état de la cuisine de ce logement, singulièrement si celle-ci est équipée ou non. La cour cantonale a encore toutefois constaté que l'immeuble dans lequel se trouve cet appartement, sis au 24 avenue Krieg, est dans un quartier calme, alors que la rue de Contamines, lieu où se situe le logement litigieux, connaît un trafic automobile dense et bruyant. Il appert ainsi que cet exemple comparatif a été exclu sur la base des indications que renfermait la fiche, mais pas en raison de ses lacunes. Or le juge appliquant la maxime inquisitoriale sociale de l' art. 274d al. 3 CO n'a pas pour fonction de se substituer au bailleur, auquel incombe le devoir de fournir des fiches utiles à la comparaison avec l'appartement dont le congé a été signifié pour des motifs économiques.</w:t>
      </w:r>
    </w:p>
    <w:p>
      <w:r>
        <w:t>S'agissant enfin de la fiche n° 14, elle ne donne aucune indication sur l'état de la cuisine. On peut admettre qu'une inspection locale aurait pu permettre de décrire l'agencement de cette cuisine. Mais peu importe, dès l'instant où, comme on le verra ci-dessous, la prise en compte de cet élément ne permettrait pas d'élever à cinq les appartements qu'il y a lieu de considérer comme comparables avec le logement de l'intimé. Partant, une éventuelle violation de la maxime d'office dans ce cas n'aurait aucune incidence sur le sort de la querelle.</w:t>
      </w:r>
    </w:p>
    <w:p>
      <w:r>
        <w:rPr>
          <w:b/>
        </w:rPr>
        <w:t>E. 3</w:t>
      </w:r>
    </w:p>
    <w:p>
      <w:r>
        <w:t>La recourante fait grief à la cour cantonale d'avoir enfreint les art. 269a let. a CO et 11 al. 1 OBLF. Elle est d'avis qu'elle a présenté douze éléments parfaitement comparables à l'appartement loué par l'intimé, soit les fiches nos 14, 15, 19, 21, 25, 26, 31, 34, 47, 48, 54 et 55. Les magistrats genevois auraient fait une application trop restrictive, en fonction d'une analyse très sommaire, des principes admettant que des logements soient déclarés comparables à la chose louée.</w:t>
      </w:r>
    </w:p>
    <w:p>
      <w:r>
        <w:rPr>
          <w:b/>
        </w:rPr>
        <w:t>E. 3.1</w:t>
      </w:r>
    </w:p>
    <w:p>
      <w:r>
        <w:t>D'après l' art. 269a let. a CO ne sont en règle générale pas abusifs les loyers qui se situent dans les limites des loyers usuels dans la localité ou dans le quartier.</w:t>
      </w:r>
    </w:p>
    <w:p>
      <w:r>
        <w:t>Un congé motivé, comme celui d'espèce, exclusivement par la volonté du bailleur d'obtenir d'un nouveau locataire un loyer plus élevé que le loyer payé par le locataire dont le bail a été résilié ne contrevient en principe pas aux règles de la bonne foi (cf. art. 271 al. 1 CO ). Pour être toutefois valable, un congé motivé par des considérations économiques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notamment parce que celui-ci est déjà conforme aux loyers usuels dans le quartier ( art. 269a let. a CO ; ATF 136 III 74 consid. 2.1 et les arrêts cités).</w:t>
      </w:r>
    </w:p>
    <w:p>
      <w:r>
        <w:t>Selon l' art. 11 OBLF , les loyers déterminants pour le calcul des loyers usuels dans la localité ou le quartier au sens de l' art. 269a let. a CO sont les loyers des logements et des locaux commerciaux comparables à la chose louée quant à l'emplacement, la dimension, l'équipement, l'état et l'année de construction (al. 1), à l'exclusion des loyers résultant de ce qu'un bailleur ou un groupe de bailleurs domine le marché (al. 3).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136 III 74 consid. 3.1 p. 80; 123 III 317 consid. 4a p. 319). Les loyers de référence ne doivent eux-mêmes pas être abusifs, ce qui implique, si nécessaire, de les adapter en principe aux baisses du taux hypothécaire intervenues depuis le moment où ils ont été fixés ( ATF 136 III 74 ibidem; 127 III 411 consid. 5a p. 412 ss).</w:t>
      </w:r>
    </w:p>
    <w:p>
      <w:r>
        <w:rPr>
          <w:b/>
        </w:rPr>
        <w:t>E. 3.2</w:t>
      </w:r>
    </w:p>
    <w:p>
      <w:r>
        <w:t>Sur les douze éléments de comparaison dont s'est prévalue la recourante dans son recours en matière civile, onze doivent être passés en revue à la lumière des principes juridiques susrappelés, l'objet n° 14 pouvant à ce stade être laissé de côté (cf. consid. 2.2.3 in fine ci-dessus).</w:t>
      </w:r>
    </w:p>
    <w:p>
      <w:r>
        <w:rPr>
          <w:b/>
        </w:rPr>
        <w:t>E. 3.2.1</w:t>
      </w:r>
    </w:p>
    <w:p>
      <w:r>
        <w:t>La cour cantonale a constaté, sans que l'arbitraire soit invoqué, que l'objet désigné sous le no 19 n'indique pas la situation de l'immeuble, encore moins l'état des installations électriques et la qualité du vitrage de ce logement, et ne précise pas non plus le taux hypothécaire à partir duquel le loyer a été arrêté. Il n'est nul besoin de longs développements pour reconnaître que la Chambre d'appel pouvait éliminer cet élément dont la description comporte des lacunes si importantes que toute comparaison avec d'autres logements est exclue.</w:t>
      </w:r>
    </w:p>
    <w:p>
      <w:r>
        <w:rPr>
          <w:b/>
        </w:rPr>
        <w:t>E. 3.2.2</w:t>
      </w:r>
    </w:p>
    <w:p>
      <w:r>
        <w:t>L'autorité cantonale a relevé, sans tomber sous le feu de la critique, que les objets portant les nos 15 et 48 ne précisent pas si le vitrage desdits appartements est simple ou double. Il s'agit là pourtant d'un élément essentiel pour juger si ces objets sont exposés à des nuisances de bruit comparables à celles que subit le logement de l'intimé, lequel est situé pour sa part dans une rue dont le trafic est intense (cf. arrêt 4C.265/2000 du 16 janvier 2001, consid. 4b/dd, in SJ 2001 I p. 247).</w:t>
      </w:r>
    </w:p>
    <w:p>
      <w:r>
        <w:t>De plus, la cour cantonale a mentionné en fait que l'état des installations électriques des deux logements précités n'était pas connu. Il a été constaté en revanche que les installations d'électricité de l'appartement litigieux sont vétustes. Or les installations électriques existant dans tout logement constituent une part de l'équipement visé par l' art. 11 al. 1 OBLF (cf. DAVID LACHAT, Le bail à loyer, 2008, p. 459), laquelle est devenue de plus en plus importante depuis la fin du 20e siècle qui a vu une avancée fulgurante de l'informatique domestique et des moyens de communication, tels internet. Il n'apparaît ainsi pas que la cour cantonale, en ne tenant pas compte de deux objets dont les fiches descriptives étaient clairement incomplètes, a consacré une application par trop restrictive des art. 269a let. a CO et 11 al. 1 OBLF.</w:t>
      </w:r>
    </w:p>
    <w:p>
      <w:r>
        <w:rPr>
          <w:b/>
        </w:rPr>
        <w:t>E. 3.2.3</w:t>
      </w:r>
    </w:p>
    <w:p>
      <w:r>
        <w:t>La Chambre d'appel a éliminé de la comparaison les six appartements décrits dans les fiches nos 25, 26, 31, 47, 54 et 55, aux motifs que les locaux d'habitations et les sanitaires de tous ces logements étaient récents et, au surplus, pour deux d'entre eux (fiches nos 47 et 54) qu'ils étaient équipés d'installations électriques nouvelles.</w:t>
      </w:r>
    </w:p>
    <w:p>
      <w:r>
        <w:t>Il a été constaté définitivement ( art. 105 al. 1 LTF ) que la bailleresse a elle-même admis que les pièces d'habitation et les sanitaires de l'appartement remis à bail à l'intimé devaient être qualifiés d'« anciens »; en outre, les peintures et papiers-peints desdits locaux sont défraichis. Vu la différence évidente d'état d'entretien entre l'appartement du demandeur et les exemples répertoriés sous les cotes nos 25, 26, 31, 47, 54 et 55, ces derniers pouvaient être laissés de côté sans qu'il y ait violation du droit fédéral, ainsi que l'a bien jugé l'autorité cantonale.</w:t>
      </w:r>
    </w:p>
    <w:p>
      <w:r>
        <w:rPr>
          <w:b/>
        </w:rPr>
        <w:t>E. 3.2.4</w:t>
      </w:r>
    </w:p>
    <w:p>
      <w:r>
        <w:t>La Chambre d'appel n'a pas pris en considération les appartements faisant l'objet des fiches nos 21 et 34, car ils se trouvent dans un environnement calme, dont le caractère résidentiel est plus marqué que la rue où est érigé le bâtiment de la rue de Contamines 35.</w:t>
      </w:r>
    </w:p>
    <w:p>
      <w:r>
        <w:t>Il a été retenu que l'appartement de l'intimé se situe au 8ème étage d'un immeuble bâti dans une rue où le trafic automobile est dense et bruyant.</w:t>
      </w:r>
    </w:p>
    <w:p>
      <w:r>
        <w:t>Pour tenir lieu d'éléments de comparaison, les logements de référence doivent avoir des avantages analogues, par exemple au niveau de l'environnement, ou, à l'inverse, des nuisances comparables, en ce qui a trait notamment à l'exposition au bruit (arrêt 4C.265/2000 du 16 janvier 2001, consid. 4b/dd, in SJ 2001 I p. 247; RAYMOND BISANG ET AL., Das schweizerische Mietrecht, Kommentar, 3e éd. 2008. n° 11 ad art. 269a CO , p. 554).</w:t>
      </w:r>
    </w:p>
    <w:p>
      <w:r>
        <w:t>Il saute aux yeux que des appartements situés dans un environnement résidentiel, à savoir en dehors des voies de passage principales, ne sont pas comparables, au point de vue de l'emplacement, à un logement construit dans un immeuble exposé au bruit généré par une forte circulation de véhicules motorisés. Cette différence d'exposition aux nuisances de bruit exclut à elle seule toute comparaison selon le critère précité, expressément consacré par l' art. 11 al. 1 OBLF .</w:t>
      </w:r>
    </w:p>
    <w:p>
      <w:r>
        <w:rPr>
          <w:b/>
        </w:rPr>
        <w:t>E. 3.2.5</w:t>
      </w:r>
    </w:p>
    <w:p>
      <w:r>
        <w:t>Il suit de là que même si l'élément de comparaison décrit par la fiche n° 14 était pris en compte, le nombre d'appartements considérés par le droit du bail comme comparables avec le logement de l'intimé se monterait à trois. Or, comme on l'a exposé, ce chiffre est insuffisant pour établir les loyers usuels du quartier.</w:t>
      </w:r>
    </w:p>
    <w:p>
      <w:r>
        <w:t>Il s'ensuit que l'autorité cantonale n'a en rien transgressé le droit fédéral en confirmant le jugement du Tribunal des baux et loyers, lequel avait annulé les congés notifiés au demandeur le 2 mars 2007 pour le 30 septembre 2007</w:t>
      </w:r>
    </w:p>
    <w:p>
      <w:r>
        <w:rPr>
          <w:b/>
        </w:rPr>
        <w:t>E. 3.2.6</w:t>
      </w:r>
    </w:p>
    <w:p>
      <w:r>
        <w:t>L'annulation des résiliations en cause étant acquise, la question d'une prolongation de bail, qui a fait très brièvement l'objet d'un moyen de la recourante, a perdu tout intérêt.</w:t>
      </w:r>
    </w:p>
    <w:p>
      <w:r>
        <w:rPr>
          <w:b/>
        </w:rPr>
        <w:t>E. 4</w:t>
      </w:r>
    </w:p>
    <w:p>
      <w:r>
        <w:t>En résumé, le recours doit être rejeté dans la mesure de sa recevabilité. La recourante, qui succombe, supportera les frais judiciaires et versera à l'intimé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