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294/2014 vom 30. Oktober 2014</w:t>
      </w:r>
    </w:p>
    <w:p>
      <w:r>
        <w:t>Bundesgericht, 2014-10-30, FR</w:t>
      </w:r>
    </w:p>
    <w:p>
      <w:r>
        <w:rPr>
          <w:b/>
        </w:rPr>
        <w:t xml:space="preserve">Quelle: </w:t>
      </w:r>
      <w:r>
        <w:t>https://mcp.opencaselaw.ch/entscheid/bger_4A_294_2014</w:t>
      </w:r>
    </w:p>
    <w:p>
      <w:r>
        <w:t>FR: TF 4A 294/2014 du 30 octobre 2014</w:t>
      </w:r>
    </w:p>
    <w:p>
      <w:r>
        <w:t>IT: TF 4A 294/2014 del 30 ottobre 2014</w:t>
      </w:r>
    </w:p>
    <w:p>
      <w:pPr>
        <w:pStyle w:val="Heading2"/>
      </w:pPr>
      <w:r>
        <w:t>Regeste</w:t>
      </w:r>
    </w:p>
    <w:p>
      <w:r>
        <w:t>contrat d'assurance; réticence | Droit des contrats</w:t>
      </w:r>
    </w:p>
    <w:p>
      <w:pPr>
        <w:pStyle w:val="Heading2"/>
      </w:pPr>
      <w:r>
        <w:t>Erwägungen</w:t>
      </w:r>
    </w:p>
    <w:p>
      <w:r>
        <w:rPr>
          <w:b/>
        </w:rPr>
        <w:t>E. 1</w:t>
      </w:r>
    </w:p>
    <w:p>
      <w:r>
        <w:t>Il est constant que les parties se sont liées par un contrat soumis à la loi fédérale sur le contrat d'assurance (LCA). A teneur de l' art. 4 al. 1 LCA ,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Selon l'art. 6 al. 1 à 3 LCA, l'assureur est en droit de résilier le contrat en cas de réticence, c'est-à-dire lorsque les déclarations du proposant se révèlent inexactes ou incomplètes (al. 1); il est autorisé à refuser sa prestation aussi pour les sinistres déjà survenus, si le fait qui a été l'objet de la réticence a influé sur leur survenance ou leur étendue (al. 3). Ce droit de résiliation s'éteint quatre semaines après que l'assureur a eu connaissance de la réticence (al. 2). La Chambre des recours retient qu'en déclarant n'avoir pas été en traitement médical au cours des cinq dernières années, le demandeur a répondu de manière incomplète au questionnaire joint à sa proposition d'assurance, de sorte que sa réticence autorisait la défenderesse à résilier le contrat et à refuser toute couverture pour l'hospitalisation du 21 mars 2011. L'autorité retient toutefois aussi que la défenderesse a connu la réticence dès réception des notes d'honoraires des docteurs F.________ et G.________ par A.________ SA, l'une le 29 décembre 2010 et l'autre le 21 janvier 2011, en raison de la gestion commune des deux sociétés d'assurance, et que le délai de quatre semaines à observer pour la résiliation, imposé par l' art. 6 al. 2 LCA , s'est écoulé dès cette époque. La résiliation signifiée seulement le 21 avril 2011 est ainsi jugée tardive et dépourvue d'influence sur les obligations contractuelles de la défenderesse. Devant le Tribunal fédéral, cette partie argue l'indépendance juridique des deux sociétés d'assurance en cause, soit elle-même et A.________ SA. Elle fait valoir que cette dernière n'est pas autorisée à communiquer des données aux tiers, sinon dans les limites strictement définies par l'art. 84a de la loi fédérale sur l'assurance-maladie (LAMal), et elle affirme que le demandeur n'a pas consenti, en présentant sa proposition d'assurance, à une transmission systématique de ses données médicales mais seulement aux vérifications nécessaires en cas de soupçon de réticence. Au regard des réponses exclusivement négatives insérées dans le questionnaire, la défenderesse n'avait prétendument aucun motif de soupçonner une réticence. Elle conteste donc que la réception des notes d'honoraires par A.________ SA ait déclenché au péril de ses propres droits l'écoulement du délai prévu par l' art. 6 al. 2 LCA .</w:t>
      </w:r>
    </w:p>
    <w:p>
      <w:r>
        <w:rPr>
          <w:b/>
        </w:rPr>
        <w:t>E. 2</w:t>
      </w:r>
    </w:p>
    <w:p>
      <w:r>
        <w:t>En règle générale, dans les affaires pécuniaires civiles, le recours ordinaire au Tribunal fédéral n'est recevable que si la valeur litigieuse s'élève à 30'000 fr. au moins ( art. 74 al. 1 let. b LTF ); le recours est recevable sans égard à la valeur litigieuse lorsque la contestation soulève une question juridique de principe ( art. 74 al. 2 let. a LTF ). Dans la présente contestation, la valeur litigieuse ne s'élève qu'à 8'650 fr.; le minimum légal n'est donc pas atteint. Selon la jurisprudence, il y a question juridique de principe lorsque dans l'intérêt général, en particulier dans l'intérêt de la sécurité juridique, une question controversée doit être résolue par la juridiction suprême afin de parvenir à une interprétation et à une application uniforme du droit fédéral ( ATF 139 II 340 consid. 4 p. 343; 139 III 209 consid. 1.2 p. 210; 137 III 580 consid. 1.1 p. 582/583). La défenderesse prétend soulever une question juridique de principe en contestant qu'elle fût autorisée à prendre connaissance des dossiers de A.________ SA, relatifs à l'assurance obligatoire des soins en cas de maladie, et censée connaître elle aussi des faits connus de cette société-ci. Or, la transmission d'informations au sein d'un groupe de sociétés d'assurance, comprenant notamment une société pratiquant l'assurance-maladie sociale, ne paraît soulever aucune question controversée dont la solution soit impérieusement nécessaire. En particulier, la défenderesse ne mentionne pas de décisions judiciaires discordantes ni de contributions doctrinales divergentes dans ce domaine. Il s'ensuit que le recours en matière civile est irrecevable. Le recours constitutionnel est en revanche recevable à titre subsidiaire ( art. 113 LTF ). Ce recours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w:t>
      </w:r>
    </w:p>
    <w:p>
      <w:r>
        <w:rPr>
          <w:b/>
        </w:rPr>
        <w:t>E. 3</w:t>
      </w:r>
    </w:p>
    <w:p>
      <w:r>
        <w:t>A l'appui du recours constitutionnel, la défenderesse invoque la protection contre l'arbitraire conférée par l' art. 9 Cst. 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4</w:t>
      </w:r>
    </w:p>
    <w:p>
      <w:r>
        <w:t>L'écoulement du délai fixé par l' art. 6 al. 2 LCA ne débute que lorsque l'assureur est complètement orienté sur tous les points concernant la réticence et qu'il en a une connaissance effective. Des renseignements dignes de foi sur des faits dont on peut déduire avec certitude qu'une réticence a été commise sont à cet égard suffisants; en revanche, de simples soupçons, même propres à inciter un assureur diligent à vérifier les déclarations du proposant et assuré, ne déclenchent pas l'écoulement du délai ( ATF 118 II 333 consid. 3 p. 340; 119 V 283 consid. 5a p. 287/288). L'assureur est censé connaître des faits ou disposer de renseignements dès que cette information est accessible au sein de son organisation (arrêts 4A_112/2013 du 20 août 2013, consid. 2.4; 9C_199/2008 du 19 novembre 2008, consid. 4.1, SVR 2009 BVG n° 12 p. 37). La défenderesse ne met pas en doute qu'elle-même et A.________ SA reçoivent leur correspondance à la même adresse, partagent les mêmes numéros de téléphone, usent d'un papier à en-tête commun et emploient les mêmes collaborateurs, conformément aux constatations cantonales. Au regard de cette situation, la Chambre des recours peut admettre sans arbitraire que les deux sociétés d'assurance ont adopté une organisation commune et s'administrent en commun, avec cet effet que les documents que des tiers adressent à l'une d'elles, tels les factures des fournisseurs de prestations, sont accessibles aussi à l'autre. L'indépendance juridique des deux sociétés, sur laquelle la défenderesse insiste, est sous cet aspect dépourvue de pertinence; la situation de fait est seule déterminante. Il n'importe pas davantage que l'organisation ainsi établie soit éventuellement inconciliable avec le régime légal de la protection des données dans l'assurance-maladie sociale. Cette incompatibilité est d'ailleurs très douteuse car l' art. 12 al. 2 LAMal autorise un assureur à pratiquer cumulativement l'assurance-maladie sociale et d'autres assurances qui lui sont complémentaires; on peut donc admettre sans arbitraire que deux assureurs juridiquement indépendants, pratiquant l'un l'assurance sociale, l'autre des assurances complémentaires, sont aussi autorisés à adopter une organisation unique. La Chambre des recours peut ainsi juger sans arbitraire que les notes d'honoraires des docteurs F.________ et G.________ ont été connues de la défenderesse dès leur réception par A.________ SA. Il n'est pas nécessaire de discuter la portée de l'autorisation de prendre des renseignements que le demandeur a accordée en présentant sa proposition d'assurance. La défenderesse conteste que ces notes d'honoraires lui aient à elles seules apporté la connaissance effective de la réticence imputable au demandeur. Or, celui-ci a introduit une proposition d'assurance des frais d'hospitalisation sitôt après qu'il avait consulté deux médecins spécialistes, dont un chirurgien; la défenderesse pouvait en inférer avec certitude qu'un traitement chirurgical était imminent et que le demandeur n'avait donc pas répondu de manière véridique aux questions posées. Sous cet aspect également, dans son résultat, la décision de la Chambre des recours doit être jugée compatible avec l' art. 9 Cst. ; il n'est pas nécessaire de vérifier si les motifs de cette décision résistent en tous points aux critiques soumises au Tribunal fédéral. Le recours constitutionnel se révèle de toute manière mal fondé, ce qui entraîne son rejet.</w:t>
      </w:r>
    </w:p>
    <w:p>
      <w:r>
        <w:rPr>
          <w:b/>
        </w:rPr>
        <w:t>E. 5</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