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4A_293/2025 vom 29. September 2025</w:t>
      </w:r>
    </w:p>
    <w:p>
      <w:r>
        <w:t>Bundesgericht, 2025-09-29, DE</w:t>
      </w:r>
    </w:p>
    <w:p>
      <w:r>
        <w:rPr>
          <w:b/>
        </w:rPr>
        <w:t xml:space="preserve">Quelle: </w:t>
      </w:r>
      <w:r>
        <w:t>https://mcp.opencaselaw.ch/entscheid/bger_4A_293_2025</w:t>
      </w:r>
    </w:p>
    <w:p>
      <w:r>
        <w:t>FR: TF 4A_293/2025 du 29 septembre 2025</w:t>
      </w:r>
    </w:p>
    <w:p>
      <w:r>
        <w:t>IT: TF 4A_293/2025 del 29 settembre 2025</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Die Beschwerde betrifft eine Zivilsache ( Art. 72 Abs. 1 BGG ) und richtet sich gegen einen Endentscheid ( Art. 90 BGG ) eines oberen kantonalen Gerichts, das als Rechtsmittelinstanz entschieden hat ( Art. 75 Abs. 1 BGG ). Die Beschwerdeführerin ist mit ihren Anträgen teilweise unterlegen ( Art. 76 Abs. 1 BGG ), der Streitwert ist erreicht ( Art. 74 Abs. 1 lit. b BGG ) und die Beschwerdefrist ( Art. 100 Abs. 1 BGG ) ist eingehalten.</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 Beschwerdeführerin verkennt diese Grundsätze über weite Strecken. Sie stellt ihren rechtlichen Ausführungen eine ausführliche Sachverhaltsdarstellung voran, in der sie den Hintergrund des Rechtsstreits, den Ablauf des Verfahrens und die Standpunkte der Parteien aus eigener Sicht schildert. Dabei wiederholt sie teilweise lediglich ihre bereits im kantonalen Verfahren erhobenen Vorbringen. Auch in ihrer weiteren Beschwerdebegründung wiederholt sie teilweise praktisch wortwörtlich ihre Vorbringen aus den Rechtsschriften des kantonalen Verfahrens. Diese Vorbringen haben unbeachtet zu bleiben.</w:t>
      </w:r>
    </w:p>
    <w:p>
      <w:r>
        <w:t>Die Beschwerdeführerin geht über weite Strecken nicht auf die konkreten Erwägungen im angefochtenen Entscheid ein und legt nicht dar, inwiefern der Vorinstanz eine Verletzung von Bundesrecht vorzuwerfen wäre, sondern unterbreitet dem Bundesgericht losgelöst von den vorinstanzlichen Erwägungen und unter Berufung auf die Vorakten ihre Sicht der Dinge, als ob das Bundesgericht den Rechtsstreit von Grund auf neu beurteilen könnte. Da die Beschwerdeschrift in unzulässiger Weise tatsächliche und rechtliche Vorbringen vermengt, ist auf die Vorbringen der Beschwerdeführerin nur insoweit einzugehen, als diese einen hinreichenden Bezug zu den konkreten Erwägungen im angefochtenen Entscheid aufweisen und daraus wenigstens sinngemäss erkennbar ist, welche Bundesrechtssätze und inwiefern sie durch den angefochtenen Entscheid verletzt sein sollen, wenn die verbindlichen Feststellungen im angefochtenen Entscheid zugrunde gelegt werden ( Art. 105 Abs. 1 BGG ).</w:t>
      </w:r>
    </w:p>
    <w:p>
      <w:r>
        <w:rPr>
          <w:b/>
        </w:rPr>
        <w:t>E. 2</w:t>
      </w:r>
    </w:p>
    <w:p>
      <w:r>
        <w:t>Die Beschwerdeführerin macht geltend, die Schlussrechnung gemäss Art. 154 Abs. 3 der SIA-Norm 118, die vorliegend in den Werkvertrag übernommen wurde, gelte im Umfang des positiven Prüfbescheids der Bauleitung als von der Beschwerdegegnerin genehmigt. Sie wirft der Vorinstanz insbesondere vor, sie habe den Sachverhalt in diesem Zusammenhang willkürlich festgestellt.</w:t>
      </w:r>
    </w:p>
    <w:p>
      <w:r>
        <w:rPr>
          <w:b/>
        </w:rPr>
        <w:t>E. 2.1</w:t>
      </w:r>
    </w:p>
    <w:p>
      <w:r>
        <w:t>Die Vorinstanz wies darauf hin, die Parteien hätten im Werkvertrag vereinbart, dass Nachtragsleistungen nur mit schriftlichem Einverständnis der Bauherrin ausgeführt werden dürften. Die Gemeinde habe aufgrund dieser Klausel im Werkvertrag davon ausgehen dürfen, dass sie bei den Preisverhandlungen zwischen der Beschwerdeführerin und der Bauleitung nicht einschreiten musste, wenn sie überhaupt davon Kenntnis hatte. Solange die Gemeinde die Nachtragspreise nicht schriftlich genehmigte, habe sie davon ausgehen können, dass Nachtragspreise für sie unverbindlich sind. Die Beschwerdeführerin hingegen habe ohne schriftliche Genehmigung der Gemeinde nicht davon ausgehen können, dass die Nachtragspreise verbindlich vereinbart seien. Aufgrund der erwähnten Klausel im Werkvertrag habe sie erkennen müssen, dass es nicht im Interesse der Gemeinde gewesen sei, wenn die Bauleitung die Nachtragspreise verbindlich genehmigte. Führte die Beschwerdeführerin die Nachtragsarbeiten trotzdem aus, habe sie die Preisunsicherheit in Kauf genommen. Sie hätte auch ohne entsprechenden Vorbehalt erkennen müssen, dass die mit der Bauleitung vereinbarten Nachtragspreise nicht verbindlich seien.</w:t>
      </w:r>
    </w:p>
    <w:p>
      <w:r>
        <w:t>Dass die Bauleitung selbständig, ohne Mitwirkung der Bauherrin, Nachtragspreise verbindlich genehmigen könne, so die Vorinstanz weiter, sei auch gemäss der SIA-Norm 118 nicht üblich. Der Bauleitung komme aus Art. 33-35 SIA-Norm 118 üblicherweise lediglich eine Prüfungs-, nicht aber eine Genehmigungsbefugnis zu. Hinzu komme, dass während der Baustellenbesprechung im August 2011 die Kompetenzen der Bauleitung gemäss Werkvertrag bestätigt worden seien. Auch die Aussagen während der Parteibefragung zeigten auf, dass die Parteien den Bau zeitgerecht fertigstellen und sich erst später um die verbindlichen Preise kümmern wollten. Es sei davon auszugehen, dass auch die Beschwerdeführerin damit einverstanden gewesen sei; so habe sie die Nachtragsarbeiten auch noch ausgeführt, als die Bauleitung keine Nachtragsofferten mehr unterschrieben habe.</w:t>
      </w:r>
    </w:p>
    <w:p>
      <w:r>
        <w:t>Die Vorinstanz erwog, aufgrund des klaren Wortlauts des abgeschlossenen Werkvertrags habe die Beschwerdeführerin nicht darauf vertrauen dürfen, dass die Beschwerdegegnerin die Vollmacht der Bauleitung stillschweigend erweitert habe, ohne sich bei der Gemeinde zu erkundigen. Obwohl keine generelle Nachforschungspflicht für die Beschwerdeführerin bestehe, wäre es aufgrund der vorliegenden Umstände die Pflicht der Beschwerdeführerin gewesen, die Beschwerdegegnerin anzufragen, ob ihr passives Verhalten bedeute, dass neu die Bauleitung zur Genehmigung von Nachtragspreisen bevollmächtigt sei. Indem die Beschwerdeführerin darauf verzichtet habe, habe sie in Kauf genommen, dass die mit der Bauleitung verhandelten Nachtragspreise nicht verbindlich seien und im Nachhinein von der Gemeinde nochmals in Frage gestellt werden könnten. Die Beschwerdeführerin habe aufgrund der schriftlichen Vertragsklausel im Werkvertrag aus dem passiven Verhalten der Gemeinde nicht eine stillschweigende Vollmachtskundgabe annehmen dürfen. Der Werkvertrag sei in diesem Zusammenhang zu beachten und könne nicht einfach ausser Acht gelassen werden. Die Beschwerdeführerin sei somit nicht gutgläubig und habe nicht davon ausgehen dürfen, dass die Gemeinde der Bauleitung eine über die SIA-Norm 118 und über den Werkvertrag hinausgehende Vollmacht erteilen wollte. Somit seien die Nachtragspreise nicht verbindlich vereinbart worden.</w:t>
      </w:r>
    </w:p>
    <w:p>
      <w:r>
        <w:rPr>
          <w:b/>
        </w:rPr>
        <w:t>E. 2.2</w:t>
      </w:r>
    </w:p>
    <w:p>
      <w:r>
        <w:t>Willkür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148 III 95 E. 4.1; 144 II 281 E. 3.6.2; 141 III 564 E. 4.1; 140 III 16 E. 2.1; je mit Hinweisen). Das Bundesgericht hebt einen Entscheid nur auf, wenn er nicht bloss in der Begründung, sondern auch im Ergebnis unhaltbar ist ( BGE 148 III 95 E. 4.1; 141 III 564 E. 4.1 mit Hinweisen).</w:t>
      </w:r>
    </w:p>
    <w:p>
      <w:r>
        <w:t>Die Beweiswürdigung ist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2.3</w:t>
      </w:r>
    </w:p>
    <w:p>
      <w:r>
        <w:t>Die Beschwerdeführerin beanstandet die Feststellung im angefochtenen Entscheid, wonach sie die Schlussabrechnung "zunächst selber nicht als verbindlich angesehen [habe]" habe, als willkürlich. Sie führt gestützt auf angeblich aktenkundige Tatsachen und unter Berufung auf verschiedene Aktenstücke des kantonalen Verfahrens fünf verschiedene Umstände ins Feld, die ihrer Ansicht nach für eine andere Sichtweise sprechen. Abgesehen davon, dass sie nicht mit Aktenhinweisen aufzeigt, entsprechende Tatsachen bereits im kantonalen Verfahren prozesskonform eingebracht zu haben, geht aus ihrer Beschwerdebegründung nicht hervor, inwiefern die vorinstanzliche Feststellung geradezu unhaltbar sein soll, womit sie mit ihren Ausführungen keine Willkür ( Art. 9 BV ) aufzeigt. Ohnehin würde in keiner Weise einleuchten, inwiefern das Verständnis und das Verhalten von C.________ - dem ehemaligen Bauleiter der Verfahrensbeteiligten - Rückschlüsse auf das Verständnis der Beschwerdeführerin hinsichtlich der von ihr erstellten Schlussabrechnung zulassen soll. Auch mit ihren appellatorischen Ausführungen zum im angefochtenen Entscheid erwähnten Ausmass "XXX2103" (kant. act. 3/15) zeigt die Beschwerdeführerin weder eine Aktenwidrigkeit noch eine Verletzung von Art. 9 BV auf.</w:t>
      </w:r>
    </w:p>
    <w:p>
      <w:r>
        <w:t>Soweit die Beschwerdeführerin darüber hinaus vorbringt, es liege hinsichtlich der Behandlung der Schlussabrechnung eine übereinstimmende gegenseitige Willenserklärung vor, mithin ein tatsächlicher Konsens, an den die Parteien nach Art. 18 OR gebunden seien, sind ihre Ausführungen rein appellatorisch und damit unbeachtlich. Eine willkürliche Beweiswürdigung durch die Vorinstanz ist entgegen den Behauptungen in der Beschwerde nicht dargetan.</w:t>
      </w:r>
    </w:p>
    <w:p>
      <w:r>
        <w:rPr>
          <w:b/>
        </w:rPr>
        <w:t>E. 2.4</w:t>
      </w:r>
    </w:p>
    <w:p>
      <w:r>
        <w:t>Die Beschwerdeführerin vermag die vorinstanzliche Erwägung, wonach die Schlussrechnung der Beschwerdeführerin vom 13. November 2013 keine endgültige Schlussabrechnung im Sinne von Art. 154 SIA-Norm 118, sondern einen blossen Entwurf darstelle, weshalb ihr von vornherein nicht die Rechtswirkungen nach dieser Bestimmung zuteil werden könne, nicht als bundesrechtswidrig auszuweisen.</w:t>
      </w:r>
    </w:p>
    <w:p>
      <w:r>
        <w:t>Ob die Eventualbegründung im angefochtenen Entscheid zutrifft, wonach ohnehin kein Prüfbescheid der Bauleitung zur Schlussabrechnung vom 13. November 2013 vorliegen würde, ist demnach für das bundesgerichtliche Beschwerdeverfahren nicht mehr entscheiderheblich. Die Beschwerdeführerin unterbreitet dem Bundesgericht aber auch in diesem Zusammenhang lediglich in unzulässiger Weise unter gelegentlichem Hinweis auf verschiedene Aktenstücke des kantonalen Verfahrens ihre eigene Sicht der Dinge. Sie beruft sich zwar auf Art. 2 Abs. 1 ZGB und Art. 18 OR bzw. die Vertragsauslegung nach dem Vertrauensprinzip, zeigt jedoch nicht unter Bezugnahme auf die konkreten Erwägungen im angefochtenen Entscheid auf, inwiefern diese Gesetzesbestimmungen bzw. Grundsätze der Vertragsauslegung missachtet worden wären. Eine Verletzung bundesrechtlicher Bestimmungen ist auch in diesem Zusammenhang nicht ersichtlich.</w:t>
      </w:r>
    </w:p>
    <w:p>
      <w:r>
        <w:rPr>
          <w:b/>
        </w:rPr>
        <w:t>E. 3</w:t>
      </w:r>
    </w:p>
    <w:p>
      <w:r>
        <w:t>Die Beschwerdeführerin macht als Eventualstandpunkt geltend, die Beschwerdegegnerin habe der Bauleitung eine Generalvollmacht erteilt, Nachträge resp. Nachtragspreise für sie verbindlich mit der Beschwerdeführerin zu verhandeln und zu genehmigen.</w:t>
      </w:r>
    </w:p>
    <w:p>
      <w:r>
        <w:rPr>
          <w:b/>
        </w:rPr>
        <w:t>E. 3.1</w:t>
      </w:r>
    </w:p>
    <w:p>
      <w:r>
        <w:t>Die Vorinstanz erwog, nach Würdigung der Parteiaussagen sei davon auszugehen, dass die Bauleitung erkannt habe bzw. zumindest hätte erkennen müssen, dass die Beschwerdegegnerin keinen Bevollmächtigungswillen ihr gegenüber gehabt habe, was die verbindliche Vereinbarung von Nachtragspreisen betreffe. Es sei deshalb davon auszugehen, dass weder eine Duldungs- noch eine Anscheinsvollmacht vorgelegen habe.</w:t>
      </w:r>
    </w:p>
    <w:p>
      <w:r>
        <w:t>Die Vorinstanz prüfte in der Folge, ob die Nachtragspreise kraft Gutglaubensschutz nach Art. 33 Abs. 3 OR als anerkannt zu gelten hätten. Dabei sei zu beachten, dass die Beschwerdeführerin gemäss Werkvertrag verpflichtet gewesen wäre, der Beschwerdegegnerin für nicht im Angebot enthaltene Leistungen vor deren Ausführung Nachtragsofferten einzureichen. Die Beschwerdeführerin habe aber entgegen dieser Werkvertragsbestimmung nur bei einem Teil der ausgeführten Zusatzleistungen tatsächlich vorgängig solche Nachtragsofferten eingereicht. Teilweise habe sie anstelle einer Nachtragsofferte nur Preisanalysen erstellt oder der Gemeinde gar nichts eingereicht. Ob die Nachtragspreise kraft Gutglaubensschutz nach Art. 33 Abs. 3 OR als anerkannt zu gelten hätten, sei deshalb je einzeln für die Positionen zu prüfen, bei denen die Beschwerdeführerin (werkvertragskonform) eine Nachtragsofferte bzw. (werkvertragswidrig) nur eine Preisanalyse eingereicht habe. Die Positionen, bei denen die Beschwerdeführerin (werkvertragswidrig) weder eine Nachtragsofferte noch eine Preisanalyse eingereicht habe, habe die Bauleitung auch nicht als Vertreterin der Beschwerdegegnerin unterzeichnen können. Entsprechend sei bei diesen Positionen von vornherein ausgeschlossen, dass die (nicht offerierten) Nachtragspreise kraft Gutglaubensschutz nach Art. 33 Abs. 3 OR als anerkannt gelten könnten.</w:t>
      </w:r>
    </w:p>
    <w:p>
      <w:r>
        <w:t>In Bezug auf die Positionen, bei denen die Beschwerdeführerin entgegen dem Werkvertrag nur eine Preisanalyse und keine Nachtragsofferte erstellte, sei keine aktive Handlung der Beschwerdegegnerin nachgewiesen. Mangels vertrauensbildender Umstände habe die Beschwerdegegnerin der Beschwerdeführerin diesbezüglich auch keine Vollmacht der Bauleitung kundgeben können. In Bezug auf diese Positionen habe die Beschwerdeführerin zudem nicht gutgläubig davon ausgehen können, die Bauleitung sei zur Genehmigung solcher Nachtragspreise berechtigt.</w:t>
      </w:r>
    </w:p>
    <w:p>
      <w:r>
        <w:t>Die Positionen, bei denen die Beschwerdeführerin eine Nachtragsofferte eingereicht habe, die von der Bauleitung unterzeichnet retourniert wurde, würden dagegen kraft Gutglaubensschutzes theoretisch als anerkannt bzw. als von der Beschwerdegegnerin verbindlich genehmigt gelten. Zu beachten sei allerdings, dass die Bauleitung bei keiner der im Berufungsverfahren strittig gebliebenen Positionen eine solche Nachtragsofferte der Beschwerdeführerin unterzeichnet retourniert habe. In Bezug auf die im Berufungsverfahren betroffenen Positionen sei die Beschwerdeführerin somit kein Rechtsgeschäft eingegangen, für das eine durch die Gemeinde kundgegebene - intern aber nicht erteilte - Vollmacht ausgereicht hätte.</w:t>
      </w:r>
    </w:p>
    <w:p>
      <w:r>
        <w:rPr>
          <w:b/>
        </w:rPr>
        <w:t>E. 3.2</w:t>
      </w:r>
    </w:p>
    <w:p>
      <w:r>
        <w:t>Die Beschwerdeführerin wirft der Vorinstanz auch in diesem Zusammenhang Willkür ( Art. 9 BV ) vor.</w:t>
      </w:r>
    </w:p>
    <w:p>
      <w:r>
        <w:t>Sie beanstandet die vorinstanzliche Feststellung als willkürlich ( Art. 9 BV ), wonach die Bauleitung die Beschwerdegegnerin bei der Nachtragspreisverhandlung nicht habe verpflichten können und wollen. Sie kritisiert mit ihren Ausführungen jedoch lediglich in unzulässiger Weise die anhand der eingereichten Unterlagen sowie gestützt auf die Parteibefragung erfolgte Beweiswürdigung der Vorinstanz, indem sie einzelne Aussagen im Rahmen des kantonalen Verfahrens ohne hinreichende Begründung als widersprüchlich, unglaubwürdig und aktenwidrig bezeichnet und dem Bundesgericht unter Hinweis auf verschiedene Aktenstücke des kantonalen Verfahrens ihre eigene Sicht der Dinge unterbreitet.</w:t>
      </w:r>
    </w:p>
    <w:p>
      <w:r>
        <w:t>Der Vorwurf der Willkür ist unbegründet.</w:t>
      </w:r>
    </w:p>
    <w:p>
      <w:r>
        <w:rPr>
          <w:b/>
        </w:rPr>
        <w:t>E. 3.3</w:t>
      </w:r>
    </w:p>
    <w:p>
      <w:r>
        <w:t>Die Beschwerdeführerin bestreitet zudem, Kenntnis des Rechtsmangels - d.h. des tatsächlichen Fehlens einer Bevollmächtigung der Bauleitung - gehabt zu haben und behauptet, sie sei stets gutgläubig ( Art. 3 ZGB ) gewesen. Dabei bringt sie vor, die im kantonalen Verfahren eingewendete Bösgläubigkeit sei von der Beschwerdegegnerin zu beweisen gewesen. Sie verkennt dabei jedoch, dass die Vorinstanz in Würdigung der eingereichten Beweismittel von der Bösgläubigkeit der Beschwerdeführerin hinsichtlich der Bevollmächtigung der Bauleitung zur Genehmigung der Preisanalysen ausging und damit den entsprechenden Beweis für erbracht erachtete. Darin ist entgegen den Vorbringen in der Beschwerde weder eine Verletzung von Art. 2 Abs. 1 noch von Art. 3 ZGB zu erblicken.</w:t>
      </w:r>
    </w:p>
    <w:p>
      <w:r>
        <w:t>Die Beschwerdeführerin stellt zudem den Feststellungen im angefochtenen Entscheid zur Voraussetzung der Gutgläubigkeit lediglich in appellatorischer Weise ihre eigene Sicht der Dinge entgegen, indem sie etwa vorbringt, die Bauleitung habe ihr die unterzeichneten Preisanalysen "offensichtlich nach Rücksprache mit der Gemeinde [...]" retourniert und Behauptungen zu den in der Baubranche angeblich üblichen Abläufen bei Nachtragsofferten sowie zum Wissen und Wollen der Beschwerdegegnerin aufstellt. Auch mit ihren Vorbringen gegen die vorinstanzliche Feststellung, wonach sie einen (stark übersetzten) Einheitspreis in den Preisanalysen eingesetzt habe, der nicht auf den gleichen Kostengrundlagen wie das Hauptangebot kalkuliert worden sei, setzt sie sich über die - für das Bundesgericht verbindlichen ( Art. 105 Abs. 1 BGG ) - Sachverhaltsfeststellungen im angefochtenen Entscheid hinweg, ohne jedoch eine hinreichende Sachverhaltsrüge zu erheben. Sie kritisiert dabei ausführlich die Annahmen der eingesetzten Gerichtsgutachter, vermag aber keine Bundesrechtsverletzung aufzuzeigen.</w:t>
      </w:r>
    </w:p>
    <w:p>
      <w:r>
        <w:t>Der Vorwurf der Verletzung von Art. 2 f. ZGB sowie des Willkürverbots ( Art. 9 BV ) erweist sich in Bezug auf die von der Vorinstanz verneinte Gutgläubigkeit der Beschwerdeführerin insgesamt als unbegründet.</w:t>
      </w:r>
    </w:p>
    <w:p>
      <w:r>
        <w:rPr>
          <w:b/>
        </w:rPr>
        <w:t>E. 3.4</w:t>
      </w:r>
    </w:p>
    <w:p>
      <w:r>
        <w:t>Mangels Gutgläubigkeit ( Art. 3 ZGB ) ist der von der Beschwerdeführerin ins Feld geführten Vertretungswirkung gestützt auf Art. 33 Abs. 3 OR die Grundlage entzogen (zur Voraussetzung des guten Glaubens für den Eintritt der Vertretungswirkung nach dieser Bestimmung BGE 146 III 37 E. 7.1.2.1 mit Hinweisen).</w:t>
      </w:r>
    </w:p>
    <w:p>
      <w:r>
        <w:t>Ob die weiteren Voraussetzung für den Eintritt der Vertretungswirkungen gestützt auf Art. 33 Abs. 3 OR erfüllt sind, wie in der Beschwerde behauptet wird, von der Vorinstanz aber verneint wurde, braucht damit nicht vertieft zu werden. Insbesondere erübrigt es sich, auf die vorinstanzliche Erwägung einzugehen, wonach in Bezug auf die Positionen, bei denen die Beschwerdeführerin entgegen dem Werkvertrag nur eine Preisanalyse und keine Nachtragsofferte erstellte, kein Verhalten der Beschwerdegegnerin vorlag, das als (externe) Kundgabe einer (intern nicht erfolgten) Bevollmächtigung der Bauleitung hätte verstanden werden können. Ohnehin wären die dagegen erhobenen Vorbringen der Beschwerdeführerin als unzulässig zu beurteilen, zumal sie auf ihre Ausführungen in der Berufung verweist und ihre bereits in dieser kantonalen Rechtsschrift erörterten Argumente wiederholt. Eine Auseinandersetzung mit den konkreten Erwägungen im angefochtenen Entscheid ist nicht erkennbar und es werden auch keine hinreichend begründeten Rügen erhoben.</w:t>
      </w:r>
    </w:p>
    <w:p>
      <w:r>
        <w:rPr>
          <w:b/>
        </w:rPr>
        <w:t>E. 3.5</w:t>
      </w:r>
    </w:p>
    <w:p>
      <w:r>
        <w:t>Insgesamt sind die vorinstanzlichen Erwägungen, wonach weder eine Anscheins- oder Duldungsvollmacht vorlag, noch eine Vertretungswirkung hinsichtlich der strittigen Nachtragspreise gestützt auf Art. 33 Abs. 3 OR eintrat, nicht zu beanstanden.</w:t>
      </w:r>
    </w:p>
    <w:p>
      <w:r>
        <w:rPr>
          <w:b/>
        </w:rPr>
        <w:t>E. 4</w:t>
      </w:r>
    </w:p>
    <w:p>
      <w:r>
        <w:t>Die Beschwerde ist abzuweisen, soweit darauf eingetreten werden kann. Dem Ausgang des Verfahrens entsprechend wird die Beschwerdeführerin kosten- und entschädigungspflichtig ( Art. 66 Abs. 1 und Art. 68 Abs. 2 BGG ). Der Verfahrensbeteiligten steht keine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