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292/2019 vom 16. Oktober 2019</w:t>
      </w:r>
    </w:p>
    <w:p>
      <w:r>
        <w:t>Bundesgericht, 2019-10-16, DE</w:t>
      </w:r>
    </w:p>
    <w:p>
      <w:r>
        <w:rPr>
          <w:b/>
        </w:rPr>
        <w:t xml:space="preserve">Quelle: </w:t>
      </w:r>
      <w:r>
        <w:t>https://mcp.opencaselaw.ch/entscheid/bger_4A_292_2019</w:t>
      </w:r>
    </w:p>
    <w:p>
      <w:r>
        <w:t>FR: TF 4A 292/2019 du 16 octobre 2019</w:t>
      </w:r>
    </w:p>
    <w:p>
      <w:r>
        <w:t>IT: TF 4A 292/2019 del 16 ottobre 2019</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bedient sich das Bundesgericht der von den Parteien verwendeten Amtssprache. Der angefochtene Entscheid ist in englischer Sprache abgefasst. Da es sich dabei nicht um eine Amtssprache handelt, ergeht der Entscheid des Bundesgerichts praxisgemäss in der Sprache der Beschwerde (vgl.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Wollerau/ SZ. Die Beschwerdegegnerin hatte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jedoch nicht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(Urteile 4A_462/2018 vom 4. Juli 2019 E. 2.2; 4A_532/2016 vom 30. Mai 2017 E. 2.4; 4A_633/2014 vom 29. Mai 2015 E. 2.3; 4A_460/2013 vom 4. Februar 2014 E. 2.3 mit Hinweisen). Der Antrag der Beschwerdeführerin ist insoweit zulässig.</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Beschwerdeführerin rügt, der von der Beschwerdegegnerin vorgeschlagene Schiedsrichter Lazopoulos sei nicht unabhängig und unparteiisch gewesen, weshalb das Schiedsgericht vorschriftswidrig zusammengesetzt gewesen sei ( Art. 190 Abs. 2 lit. a IPRG ).</w:t>
      </w:r>
    </w:p>
    <w:p>
      <w:r>
        <w:rPr>
          <w:b/>
        </w:rPr>
        <w:t>E. 3.1</w:t>
      </w:r>
    </w:p>
    <w:p>
      <w:r>
        <w:t>Wie ein staatlicher Richter hat auch ein Schiedsrichter hinreichende Gewähr hinsichtlich seiner Unabhängigkeit und Unparteilichkeit zu bieten. Fehlt es einem Schiedsgericht an Unabhängigkeit oder Unparteilichkeit, ist es als vorschriftswidrig zusammengesetzt bzw. der betroffene Einzelschiedsrichter als vorschriftswidrig ernannt im Sinne von Art. 190 Abs. 2 lit. a IPRG zu betrachten. Zur Beurteilung, ob ein Schiedsrichter diesen Anforderungen genügt, ist auf die verfassungsrechtlichen Grundsätze abzustellen, die für staatliche Gerichte entwickelt worden sind, ohne jedoch bei der Beurteilung des Einzelfalls die Besonderheiten der Schiedsgerichtsbarkeit - namentlich der internationalen Schiedsgerichtsbarkeit - aus den Augen zu verlieren ( BGE 142 III 521 E. 3.1.1; 136 III 605 E. 3.2.1 S. 608 mit Hinweisen; vgl. auch BGE 129 III 445 E. 3.1 S. 449). 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142 III 732 E. 4.2.2 S. 736; 140 III 221 E. 4.1; 139 III 120 E. 3.2.1 S. 124, 433 E. 2.1.2).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144 I 159 E. 4.3; 142 III 521 E. 3.1.1; 140 III 221 E. 4.1 S. 222; 139 III 433 E. 2.1.2 S. 436; je mit Hinweisen).</w:t>
      </w:r>
    </w:p>
    <w:p>
      <w:r>
        <w:rPr>
          <w:b/>
        </w:rPr>
        <w:t>E. 3.2</w:t>
      </w:r>
    </w:p>
    <w:p>
      <w:r>
        <w:t>Die Beschwerdeführerin bringt vor, der von der Beschwerdegegnerin vorgeschlagene Schiedsrichter Lazopoulos und die Rechtsvertreterin der Beschwerdegegnerin seien während drei Jahren, nämlich von 2007 bis 2009, in der gleichen Anwaltskanzlei in Zürich tätig gewesen. Diese mehrjährige Zusammenarbeit möge für sich allein betrachtet objektiv noch keinen Zweifel an der Unabhängigkeit des Schiedsrichters aufkommen lassen. Dagegen verändere sich diese Sichtweise drastisch, wenn festgestellt werden müsse, dass genau dieser Schiedsrichter nach seiner Ernennung telefonisch - wodurch der Gesprächsinhalt des Telefonats nicht nachvollziehbar sei - mit seiner ehemaligen Arbeitskollegin und Rechtsvertreterin der Beschwerdegegnerin in Kontakt trete. Unabhängig davon, wie der Inhalt des Gesprächs in der eingereichten Kostennote umschrieben werde, lasse bereits die blosse Tatsache der Kontaktaufnahme und Besprechung von materiellen Aspekten des Falls erhebliche Zweifel an der Unabhängigkeit aufkommen. Der Umstand, dass es weder der fragliche Schiedsrichter noch die übrigen Schiedsrichter für notwendig erachtet hätten, die Beschwerdeführerin zeitnah über dieses Gespräch in Kenntnis zu setzen, zeige, dass dieses Telefonat durchaus nicht unproblematisch zu werten sei, selbst wenn das Schiedsgericht diese einseitige Kontaktaufnahme nach der Ernennung des fraglichen Schiedsrichters lapidar zu rechtfertigen versuche, indem es ausführe, man habe versucht, einen für beide Parteien geeigneten Schiedsgerichtspräsidenten zu finden. Vielmehr sei es angezeigt gewesen, diese Fragestellung beiden Parteien schriftlich zu unterbreiten. Es spiele letztlich keine Rolle, ob die Begründung des Schiedsgerichts für die Kontaktaufnahme durch den fraglichen Schiedsrichter zutreffend sei oder nicht. Entscheidend sei vielmehr, dass objektive Umstände vorlägen, die den Anschein der Befangenheit erweckten und ein parteiisches Verhalten des fraglichen Schiedsrichters befürchten liessen. Dies sei vorliegend bei dem 20-minütigen Telefonat zwischen dem Schiedsrichter Lazopoulos und der Rechtsvertreterin der Beschwerdegegnerin gegeben. Daran ändere auch nichts, dass die Guidelines on Conflicts of Interest in International Arbitration der International Bar Association (IBA-Guidelines on Conflicts of Interest, genehmigt am 23. Oktober 2014; &lt;http://www.ibanet.org&gt;, unter IBA Digital Content/Guides and free materials [besucht am 3. Oktober 2019]) auf ihrer "grünen Liste" (Teil II, Ziffer 4.4.1), die unproblematische Beispielsituationen in Bezug auf die Unabhängigkeit von Schiedsrichtern aufzeige, eine erste Kontaktaufnahme zwischen einem Schiedsrichter und einer Partei oder deren Berater aufführe, die einzig im Hinblick auf die Auswahl der Person des Vorsitzenden oder verfahrensrelevante Aspekte des Falls erfolge. Denn wie das Beispiel selbst erwähne, handle es sich dabei um eine Kontaktaufnahme vor Ernennung des besagten Schiedsrichters; dies sei vorliegend gerade nicht der Fall gewesen, zumal der fragliche Schiedsrichter bereits mit Verfügung vom 20. November 2018 ernannt worden sei, während die besagte telefonische Kontaktaufnahme am 22. November 2018 stattgefunden habe.</w:t>
      </w:r>
    </w:p>
    <w:p>
      <w:r>
        <w:rPr>
          <w:b/>
        </w:rPr>
        <w:t>E. 3.3</w:t>
      </w:r>
    </w:p>
    <w:p>
      <w:r>
        <w:t>Die Beschwerdegegnerin wendet zunächst ein, die Rüge der fehlenden Unabhängigkeit und Unparteilichkeit sei verwirkt, nachdem bereits das staatliche Gericht im Ernennungsentscheid vom 20. November 2018 darüber befunden habe und der schiedsgerichtliche Zwischenentscheid vom 20. November 2018 nicht angefochten worden sei. Die Beschwerdeführerin hält dem zutreffend entgegen, dass sie von dem von ihr ins Feld geführten Telefongespräch zwischen dem Schiedsrichter Lazopoulos und der Rechtsvertreterin der Beschwerdegegnerin erst Mitte April 2019 erfuhr und diese Tatsache in der Folge mit Eingabe vom 19. April 2019 auch umgehend rügte. Mit Schreiben vom 26. April 2019 kündigte sie zudem an, die Frage der Unabhängigkeit und Unparteilichkeit dem zuständigen Gericht zu unterbreiten. Dass eine entsprechende Eingabe innert der kurzen Frist bis zum Schiedsentscheid hätte erfolgen müssen, geschweige denn ein entsprechender Entscheid des staatlichen Gerichts zu erwarten gewesen wäre, macht auch die Beschwerdegegnerin nicht geltend. Mit dem angefochtenen Schiedsentscheid entfiel das Rechtsschutzinteresse an einem solchen Ablehnungsverfahren und die Beschwerdeführerin konnte stattdessen das Schiedsurteil wegen vorschriftswidriger Zusammensetzung des Schiedsgerichts gemäss Art. 190 Abs. 2 lit. a IPRG anfechten (CHRISTIAN OETIKER, in: Zürcher Kommentar zum IPRG, Bd. II., 3. Aufl. 2018, N. 39 zu Art. 180 IPRG ).</w:t>
      </w:r>
    </w:p>
    <w:p>
      <w:r>
        <w:rPr>
          <w:b/>
        </w:rPr>
        <w:t>E. 3.4</w:t>
      </w:r>
    </w:p>
    <w:p>
      <w:r>
        <w:t>Einseitige Kontakte zwischen einer Partei oder deren Rechtsvertreter und einem Schiedsrichter sind nicht in jedem Fall ausgeschlossen. So ist es etwa üblich und grundsätzlich unbedenklich, mit einem potentiellen Schiedsrichter in Kontakt zu treten, um dessen Eignung und Verfügbarkeit zu ermitteln oder die Ernennung eines Vorsitzenden des Schiedsgerichts zu besprechen (dazu etwa GARY B. BORN, International Commercial Arbitration, Band II, 2. Aufl. 2014, § 12.03[A] S. 1685 ff.). Zu dieser Problematik wird in der sog. "Green List" der in der Beschwerde erwähnten IBA-Guidelines on Conflicts of Interest (dazu BGE 142 III 521 E. 3.1.2) Folgendes als unbedenklich aufgeführt: "4.4 Contacts between the arbitrator and one of the parties 4.4.1 The arbitrator has had an initial contact with a party, or an affiliate of a party (or their counsel) prior to appointment, if this contact is limited to the arbitrator's availability and qualifications to serve, or to the names of possible candidates for a chairperson, and did not address the merits or procedural aspects of the dispute, other than to provide the arbitrator with a basic understanding of the case." Die IBA Guidelines on Party Representation in International Arbitration (IBA-Guidelines on Party Representation, genehmigt am 25. Mai 2013; &lt;http://www.ibanet.org&gt;, unter IBA Digital Content/Guides and free materials [besucht am 3. Oktober 2019]) sehen in Ziffer 8 Folgendes vor: "It is not improper for a Party Representative to have Ex Parte Communications in the following circumstances: (a) A Party Representative may communicate with a prospective Party-Nominated Arbitrator to determine his or her expertise, experience, ability, availability, willingness and the existence of potential conflicts of interest. (b) A Party Representative may communicate with a prospective or appointed Party-Nominated Arbitrator for the purpose of the selection of the Presiding Arbitrator." Die Beschwerdeführerin führt zur Unterstützung ihres Standpunkts einzig Ziffer 4.4.1 IBA-Guidelines on Conflicts of Interest an, die zulässige Kontakte nach ihrem Wortlaut auf den Zeitpunkt vor der Ernennung des Schiedsrichters ("prior to appointment") beschränkt, und weist darauf hin, dass der Schiedsrichter Lazopoulos bereits mit Verfügung vom 20. November 2018 zum Schiedsrichter ernannt wurde, während die beanstandete telefonische Kontaktaufnahme mit der Rechtsvertreterin der Beschwerdegegnerin am 22. November 2018 stattfand. Wie in der Lehre hervorgehoben wird, ist jedoch breit akzeptiert, dass - gegenteilige Abreden vorbehalten - die beiden Mitschiedsrichter mit den nominierenden Parteien im Hinblick auf die Selektion eines Vorsitzenden in Kontakt stehen dürfen; nach Ernennung des Vorsitzenden sind einseitige Kontakte hingegen grundsätzlich unzulässig (BORN, a.a.O., § 12.03[C] S. 1698 ff.). Darauf, dass für die Zulässigkeit der Kommunikation im Hinblick auf die Wahl eines Vorsitzenden nicht der Zeitpunkt der Ernennung des Mitschiedsrichters ausschlaggebend ist, weist auch Ziffer 8 der IBA-Guidelines on Party Representation hin, die den zulässigen einseitigen Kontakt mit einem (zukünftigen oder bereits ernannten ) Schiedsrichter (lit. b) im Hinblick auf die Auswahl eines Vorsitzenden klar auseinanderhält von der übrigen zulässigen Kommunikation mit einem (zukünftigen) Mitschiedsrichter im Hinblick auf dessen eigene Ernennung (lit. a) (vgl. auch BORN, a.a.O., § 12.03[C] S. 1698 FN 351, der darauf hinweist, dass die Formulierung "prior to appointment" in Ziffer 4 der IBA-Guidelines on Conflicts of Interest im Zusammenhang mit der Wahl des Vorsitzenden wenig durchdacht sei und der gängigen Praxis widerspreche). Diese Sichtweise wird etwa auch durch Canon III/B.2 des Code of Ethics for Arbitrators in Commercial Disputes der American Arbitration Association vom 1. März 2004 bestätigt, der wie folgt lautet: "In an arbitration in which the two party-appointed arbitrators are expected to appoint the third arbitrator, each party-appointed arbitrator may consult with the party who appointed the arbitrator concerning the choice of the third arbitrator" (&lt;https://www.adr.org/Arbitration&gt;, unter Other Links [besucht am 3. Oktober 2019]). Die Beschwerdeführerin vermag denn auch nicht aufzuzeigen, weshalb der erfolgte Kontakt vor der gerichtlichen Ernennung des Schiedsrichters Lazopoulos vom 20. November 2018 hätte zulässig sein sollen, nicht jedoch zwei Tage später am 22. November 2018, und damit immer noch vier Tage vor Konstituierung des Schiedsgerichts, zumal das Verfahren erst ab diesem Zeitpunkt seinen Lauf nahm und die Klageschrift der Beschwerdegegnerin etwa erst am 18. Januar 2019 eingereicht wurde. Angesichts der gegebenen zeitlichen Zusammenhänge liegt entgegen der in der Beschwerde vertretenen Ansicht auf der Hand, dass die Kontaktaufnahme im Hinblick darauf erfolgte, einen geeigneten Vorsitzenden zu finden. Dabei erscheint nachvollziehbar, dass die telefonische Kontaktaufnahme betreffend das anwendbare Recht, die mit der Mitschiedsrichterin vorgängig abgesprochen worden war und über die der Vorsitzende nachträglich informiert wurde, der Wahl eines geeigneten Vorsitzenden diente, nachdem der Ernennungsentscheid des Bezirksgerichts Höfe keine Hinweise zu einer allfälligen Rechtswahl enthalten hatte und die Frage geeignet war, diese Wahl zu beeinflussen (vgl. auch Comments to Guidelines 7-8 der IBA-Guidelines on Party Representation, S. 8 lit. d betr. zulässige Kommunikation hinsichtlich Vereinbarung über das anwendbare Recht; &lt;http://www.ibanet.org&gt;, unter IBA Digital Content/Guides and free materials [besucht am 3. Oktober 2019]). Im Übrigen räumt die Beschwerdeführerin in ihrer Replik nunmehr selber ein, dass es sich bei dem fraglichen Telefonat vom 22. November 2018 um ein Gespräch von lediglich zwölf Minuten handelte. Auch dies spricht gegen den in der Beschwerde geäusserten Verdacht, es sei der Fall in unzulässiger Weise inhaltlich besprochen worden. Insgesamt liegen angesichts der konkreten Umstände bei objektiver Betrachtung keine Gegebenheiten vor, die den Anschein der Befangenheit oder die Gefahr der Voreingenommenheit zu begründen vermögen. Die Rüge, das Schiedsgericht sei vorschriftswidrig zusammengesetzt gewesen, ist unbegründet.</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