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4A_292/2012 vom 16. Oktober 2012</w:t>
      </w:r>
    </w:p>
    <w:p>
      <w:r>
        <w:t>Bundesgericht, 2012-10-16, FR</w:t>
      </w:r>
    </w:p>
    <w:p>
      <w:r>
        <w:rPr>
          <w:b/>
        </w:rPr>
        <w:t xml:space="preserve">Quelle: </w:t>
      </w:r>
      <w:r>
        <w:t>https://mcp.opencaselaw.ch/entscheid/bger_4A_292_2012</w:t>
      </w:r>
    </w:p>
    <w:p>
      <w:r>
        <w:t>FR: TF 4A_292/2012 du 16 octobre 2012</w:t>
      </w:r>
    </w:p>
    <w:p>
      <w:r>
        <w:t>IT: TF 4A_292/2012 del 16 ottobre 2012</w:t>
      </w:r>
    </w:p>
    <w:p>
      <w:pPr>
        <w:pStyle w:val="Heading2"/>
      </w:pPr>
      <w:r>
        <w:t>Erwägungen</w:t>
      </w:r>
    </w:p>
    <w:p>
      <w:r>
        <w:rPr>
          <w:b/>
        </w:rPr>
        <w:t>E. 1.1</w:t>
      </w:r>
    </w:p>
    <w:p>
      <w:r>
        <w:t>Interjeté par la partie qui a succombé dans ses conclusions libératoires ( art. 76 al. 1 LTF ) et dirigé contre un arrêt final ( art. 90 LTF ) rendu en matière civile ( art. 72 al. 1 LTF ) par une autorité cantonale de dernière instance ( art. 75 LTF ) dans une affaire pécuniaire en matière de droit du travail dont la valeur litigieuse atteint le seuil de 15'000 fr. ( art. 74 al. 1 let. a LTF ), le recours est en principe recevable puisqu'il a été déposé dans le délai ( art. 100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rPr>
          <w:b/>
        </w:rPr>
        <w:t>E. 2.1</w:t>
      </w:r>
    </w:p>
    <w:p>
      <w:r>
        <w:t>La recourante reproche à la cour cantonale d'avoir violé la LDIP (RS 291) en appliquant à la présente cause le droit suisse du travail dans son intégralité. Elle fait valoir que les parties ont soumis le contrat de travail au droit chilien et que cette élection de droit est valable en vertu de l' art. 121 al. 3 LDIP . Elle souligne que la signature, par le futur employeur, de la déclaration de garantie du DFAE en date du 19 septembre 2005 ne saurait impliquer une renonciation à l'application du droit chilien, puisque le contrat de travail du 1er octobre 2005, contenant l'élection de droit, a été conclu postérieurement.</w:t>
      </w:r>
    </w:p>
    <w:p>
      <w:r>
        <w:t>Au surplus, les conditions permettant d'écarter le droit chilien ne seraient pas réunies en l'espèce. D'une part, l'application du droit chilien en l'espèce ne conduirait manifestement pas à un résultat incompatible avec l'ordre public suisse au sens de l' art. 17 LDIP . D'autre part, les art. 319 ss CO ne seraient pas des dispositions d'application immédiate au sens de l' art. 18 LDIP .</w:t>
      </w:r>
    </w:p>
    <w:p>
      <w:r>
        <w:t>Cela étant, la recourante nie que l'intimée dispose encore d'une quelconque prétention salariale ou en indemnisation de vacances selon le droit chilien. Premièrement, la quittance pour solde de tout compte signée le 6 mars 2008 serait valable au regard de ce droit. Au demeurant, la rémunération convenue serait conforme à la législation chilienne. En dernier lieu, les prétentions de l'intimée antérieures au 22 mai 2006 seraient prescrites, le code du travail chilien prévoyant un délai de prescription de deux ans dès l'exigibilité des droits régis par ledit code.</w:t>
      </w:r>
    </w:p>
    <w:p>
      <w:r>
        <w:rPr>
          <w:b/>
        </w:rPr>
        <w:t>E. 2.2</w:t>
      </w:r>
    </w:p>
    <w:p>
      <w:r>
        <w:t>La cause revêt un aspect international puisque l'employeur est un État étranger. Le Tribunal fédéral examine d'office la question du droit applicable au litige, sur la base du droit international privé suisse en tant que lex fori ( ATF 136 III 142 consid. 3.2 p. 144, 232 consid. 5 p. 234 s.; 135 III 259 consid. 2.1 p. 261; 133 III 37 consid. 2 p. 39, 323 consid. 2.1 p. 327 s.).</w:t>
      </w:r>
    </w:p>
    <w:p>
      <w:r>
        <w:t>Aux termes de l' art. 121 al. 1 LDIP , le contrat de travail est régi par le droit de l'État dans lequel le travailleur accomplit habituellement son travail. Une élection de droit est toutefois possible, mais elle ne peut désigner que le droit de l'État dans lequel le travailleur a sa résidence habituelle ou celui dans lequel l'employeur a son établissement, son domicile ou sa résidence habituelle ( art. 121 al. 3 LDIP ).</w:t>
      </w:r>
    </w:p>
    <w:p>
      <w:r>
        <w:t>En l'espèce, l'État recourant est indéniablement établi au Chili de sorte que, en regard des règles du droit international privé suisse, les parties pouvaient choisir le droit chilien comme droit applicable au contrat de travail. La loi déclarée applicable régit la validité de l'élection de droit elle-même ( art. 116 al. 2 2 ème phrase LDIP) et, en principe, l'ensemble des questions liées à l'accord des parties, comme l'interprétation du contrat ou le contenu et l'étendue des obligations (AMSTUTZ/VOGT/WANG, in Basler Kommentar, Internationales Privatrecht, 2e éd. 2007, n° 52 ad art. 116 LDIP ; BERNARD DUTOIT, Droit international privé suisse, 4e éd. 2005, n° 6 ad art. 121 LDIP ). Un autre droit peut toutefois trouver à s'appliquer sur certains points. Ainsi en va-t-il, conformément à l' art. 18 LDIP , des lois suisses d'application immédiate, qui relèvent de l'ordre public positif.</w:t>
      </w:r>
    </w:p>
    <w:p>
      <w:r>
        <w:t>Dans le cas particulier, l'employeur a signé, en date du 19 septembre 2005, une déclaration de garantie établie par le DFAE, dans laquelle il s'engage à traiter son employée aux conditions de rémunération et de travail en usage dans la localité et la profession concernées. Le litige porte en l'espèce sur le montant du salaire, la durée des vacances et le salaire pendant le délai de congé. Il convient à présent d'examiner si ces questions doivent être réglées sur la base du droit chilien, comme la recourante le prétend, ou en appliquant le droit suisse, comme la cour cantonale l'a admis sur la base de la déclaration de garantie précitée.</w:t>
      </w:r>
    </w:p>
    <w:p>
      <w:r>
        <w:rPr>
          <w:b/>
        </w:rPr>
        <w:t>E. 2.3</w:t>
      </w:r>
    </w:p>
    <w:p>
      <w:r>
        <w:t>L' art. 342 al. 2 CO autorise une partie à un contrat de travail à agir civilement afin d'obtenir l'exécution d'une obligation de droit public imposée à son cocontractant par des dispositions fédérales ou cantonales sur le travail et susceptible d'être l'objet d'un contrat individuel de travail. L'obligation de droit public peut résulter directement d'une norme générale et abstraite, mais elle peut également être fondée sur une décision ( ATF 135 III 162 consid. 3.2.1 p. 166).</w:t>
      </w:r>
    </w:p>
    <w:p>
      <w:r>
        <w:t>Dans le domaine du droit des étrangers ordinaire, le Tribunal fédéral a appliqué l' art. 342 al. 2 CO en rapport avec l'art. 9 al. 1 de l'ordonnance du 6 octobre 1986 limitant le nombre des étrangers (OLE, en vigueur jusqu'au 31 décembre 2007; cf. actuellement art. 22 LEtr [RS 142.20] et art. 22 OASA [RS 142.201]), disposition qui soumettait l'autorisation nécessaire pour exercer une activité lucrative, notamment, à la garantie que le travailleur bénéficie des conditions de rémunération usuelles dans la localité et la profession en question. Il a ainsi admis qu'une fois l'autorisation délivrée, l'employeur est tenu, en vertu d'une obligation de droit public, de respecter les conditions qui l'assortissent, en particulier le salaire approuvé par l'autorité administrative; le travailleur dispose alors d'une prétention qu'il peut exercer devant les juridictions civiles, le juge civil étant lié par les conditions de rémunération fixées dans l'autorisation délivrée pour un emploi donné ( ATF 122 III 110 consid. 4d p. 114/115; 129 III 618 consid. 5.1 p. 621/622 et consid. 6.1 p. 623).</w:t>
      </w:r>
    </w:p>
    <w:p>
      <w:r>
        <w:t>Plus récemment, le Tribunal fédéral a eu à trancher le cas d'une domestique privée étrangère travaillant à Genève au service d'une diplomate auprès d'une mission permanente ( ATF 135 III 162 ). La procédure permettant à l'employée de maison de travailler en Suisse n'était pas régie par le droit des étrangers ordinaire, mais impliquait l'octroi par le DFAE d'une carte de légitimation, valant à la fois titre de séjour et autorisation de travail dans un domaine délimité. Pour obtenir la carte de légitimation "F" en faveur de son employée de maison, l'employeuse avait remis aux autorités suisses notamment une déclaration de garantie, dans laquelle elle confirmait avoir pris connaissance des dispositions de la directive du 1er mai 1998 du DFAE sur l'engagement des domestiques privés par les fonctionnaires internationaux, alors applicable; l'une des conditions posées par ladite directive était de travailler à plein temps pour un seul et même employeur. Le Tribunal fédéral en a déduit que l'employeuse, en signant la déclaration de garantie, s'était obligée envers les autorités suisses à engager à plein temps la domestique et que celle-ci pouvait se prévaloir de cette obligation de droit public devant le juge civil en vertu de l' art. 342 al. 2 CO (consid. 3.2.2 p. 168).</w:t>
      </w:r>
    </w:p>
    <w:p>
      <w:r>
        <w:rPr>
          <w:b/>
        </w:rPr>
        <w:t>E. 2.4</w:t>
      </w:r>
    </w:p>
    <w:p>
      <w:r>
        <w:t>Le cas présent présente de larges similitudes avec l'affaire ayant fait l'objet de l' ATF 135 III 162 . A l'instar de la domestique partie à cette dernière procédure, l'intimée ne travaillait pas à la Mission permanente, mais comme employée de maison à la résidence privée de l'Ambassadeur. Certes, comme elle avait conclu le contrat de travail avec l'État recourant, elle n'était pas une "domestique privée", engagée par un membre du personnel de la mission permanente et bénéficiant à ce titre d'une carte de légitimation de type "F" (cf. ch. 1.2 de la directive du DFAE sur l'engagement des domestiques privés par les membres du personnel des missions diplomatiques, des missions permanentes, des postes consulaires et des organisations internationales en Suisse, en vigueur jusqu'au 30 juin 2011 [ci-après: directive sur les domestiques privés]; actuellement, art. 2 al. 1 et 2 de de l'Ordonnance sur les domestiques privés du 6 juin 2011 [ODPr; RS 192.126]). Titulaire d'une carte de légitimation de type "E" et engagée sur la base d'un contrat de droit privé, l'intimée n'était pas non plus un membre du "personnel de service", employé de carrière de l'État recourant sur la base du droit public de cet État, mais un membre du "personnel local", soumis à la directive CD 3 du 1er avril 1987 de la Mission permanente de la Suisse relative au recrutement du personnel administratif et technique ainsi que du personnel de service par les Missions permanentes (cf. ch. 1.3 et 1.4 de la directive sur les domestiques privés; actuellement, art. 3 al. 2 ODPr et art. 5 de l'ordonnance sur l'État hôte du 7 décembre 2007 [OLEH; RS 192.121]).</w:t>
      </w:r>
    </w:p>
    <w:p>
      <w:r>
        <w:t>Cependant, plus que le statut accordé à l'intimée, c'est la procédure suivie pour que la gouvernante puisse venir travailler légalement en Suisse qui est déterminante. A cet égard, il ressort de l'état de fait cantonal que l'État recourant, par sa Mission permanente, a fourni à la Mission suisse à Genève trois formules, dont la déclaration de garantie de l'employeur. Le dépôt de ces documents a permis la délivrance à l'intimée du visa pour prise d'activité lucrative en Suisse, puis de la carte de légitimation de type "E", celle-ci valant à la fois titre de séjour et autorisation de travail (cf. ATF 135 III 162 consid. 3.2.2 p. 167). Il s'avère ainsi que la déclaration de garantie était nécessaire pour que l'intimée obtienne l'autorisation de travailler en Suisse. Or, cette déclaration de l'employeur comprend en particulier l'engagement de traiter l'employé aux conditions de rémunération et de travail en usage dans la localité et la profession concernées. Force est dès lors de conclure que, comme dans le cas envisagé dans l' ATF 135 III 162 , l'employeur a, en signant la déclaration de garantie, souscrit à une obligation de droit public envers les autorités suisses.</w:t>
      </w:r>
    </w:p>
    <w:p>
      <w:r>
        <w:t>Les conditions de rémunération et de travail que l'État recourant s'est engagé à respecter comprennent en tout cas celles résultant de dispositions impératives de la loi suisse applicable. En l'espèce, fondé sur l' art. 360a al. 1 CO entré en vigueur le 1er juin 2004, le canton de Genève a déclaré impératifs, à partir du 3 mai 2005, les salaires minimaux figurant dans le contrat-type de travail genevois du 30 mars 2004 pour les travailleurs de l'économie domestique à temps complet et à temps partiel, en vigueur jusqu'au 31 décembre 2011 (ci-après: CTT; cf. modifications du CTT du 1er mars 2005 et du 13 mars 2007). Par ailleurs, l' art. 329a al. 1 CO , auquel il ne peut être dérogé en défaveur du travailleur (cf. art. 362 al. 1 CO ), prévoit une durée minimale de vacances de quatre semaines par année de service pour les travailleurs âgés de plus de 20 ans. Enfin, un délai de congé inférieur à un mois ne pouvait être convenu entre les parties (cf. art. 335c al. 2 2 ème phrase CO).</w:t>
      </w:r>
    </w:p>
    <w:p>
      <w:r>
        <w:rPr>
          <w:b/>
        </w:rPr>
        <w:t>E. 2.5</w:t>
      </w:r>
    </w:p>
    <w:p>
      <w:r>
        <w:t>A ce stade du raisonnement, il apparaît, a priori, que l'employée de maison dispose d'une prétention de droit privé, déduite de l' art. 342 al. 2 CO , lui permettant d'obtenir l'exécution de l'obligation de droit public à la charge de l'employeur (cf. ATF 135 III 162 consid. 3.2.2 in fine p. 169). Il faut relever toutefois que les parties ont convenu d'une élection de droit en faveur du droit chilien. Il se pose dès lors la question de savoir si, sur les trois points en jeu (montant du salaire, durée des vacances et délai de congé), le droit suisse trouve tout de même à s'appliquer.</w:t>
      </w:r>
    </w:p>
    <w:p>
      <w:r>
        <w:t>Le droit étranger choisi par les parties peut être mis à l'écart lorsque des lois suisses dites d'application immédiate doivent être prises en compte ( art. 18 LDIP ; aspect dit positif de l'ordre public suisse). Ces normes sont, en règle générale, des dispositions impératives qui répondent le plus souvent à des intérêts essentiels d'ordre social, politique ou économique ( ATF 136 III 23 consid. 6.6.1 p. 35; 135 III 614 consid. 4.2. p. 617); elles ont été édictées dans l'intérêt public de telle sorte que leur application de préférence au droit étranger désigné par la règle de conflit s'impose dans l'intérêt public pour autant qu'il existe un rapport suffisamment étroit avec la Suisse. Les lois d'application immédiate excluent l'application du droit étranger indépendamment du résultat auquel ledit droit aurait abouti ( ATF 136 III 23 consid. 6.6.1 p. 35 et les arrêts cités).</w:t>
      </w:r>
    </w:p>
    <w:p>
      <w:r>
        <w:t>En soumettant la délivrance de l'autorisation de travail à l'exigence que l'employeur s'engage à respecter les conditions de rémunération et de travail valables dans le lieu et la profession en cause, la Suisse poursuit un intérêt public lié au maintien de la paix sociale, en préservant les travailleurs suisses d'une sous-enchère salariale induite par la main-d'oeuvre étrangère, d'une part et en protégeant les travailleurs étrangers eux-mêmes, d'autre part (cf. ATF 122 III 110 consid. 4d p. 114/115; 129 III 618 consid. 5.1 p. 621/622 et consid. 6.1 p. 623; 135 III 162 consid. 3.2.2 p. 167). La règle appliquée dans le cas présent répond à un intérêt essentiel d'ordre social et apparaît ainsi comme d'application immédiate.</w:t>
      </w:r>
    </w:p>
    <w:p>
      <w:r>
        <w:t>Comme on l'a vu, l' art. 342 al. 2 CO attribue des effets de droit civil à l'obligation de droit public mise à la charge de l'employeur de respecter les conditions de salaire et de travail applicables à un domestique travaillant à Genève. Dans la mesure où cette obligation de droit public relève de l'ordre public suisse, il se justifie, en parallèle, de ranger l' art. 342 al. 2 CO parmi les dispositions d'application immédiate au sens de l' art. 18 LDIP (BERNARD DUTOIT, op. cit., n° 8 ad art. 18 LDIP ; FRANK VISCHER, Zürcher Kommentar zum IPRG, 2e éd. 2004, n° 15 ad art. 18 LDIP ; VISCHER/HUBER/OSER, Internationales Vertragsrecht, 2e éd. 2000, n° 798 p. 367).</w:t>
      </w:r>
    </w:p>
    <w:p>
      <w:r>
        <w:t>Il s'ensuit que le droit chilien choisi par les parties doit céder le pas au droit suisse sur les questions du salaire, y compris pendant le délai de congé, et de l'indemnisation des vacances non prises, domaines dans lesquels l'intimée peut faire valoir directement des prétentions fondées sur le droit suisse.</w:t>
      </w:r>
    </w:p>
    <w:p>
      <w:r>
        <w:t>En conclusion, le grief tiré d'une violation de la LDIP se révèle mal fondé.</w:t>
      </w:r>
    </w:p>
    <w:p>
      <w:r>
        <w:rPr>
          <w:b/>
        </w:rPr>
        <w:t>E. 2.6</w:t>
      </w:r>
    </w:p>
    <w:p>
      <w:r>
        <w:t>Le 6 mars 2008, la recourante a fait signer à l'intimée une quittance pour solde de tout compte. Ce faisant, l'employée de maison renonçait à la différence entre la rémunération perçue et le salaire dû sur la base du CTT, au salaire pendant le délai de congé ainsi qu'à l'indemnisation de jours non pris des vacances calculées selon le droit suisse. Un tel engagement unilatéral, qui n'est compensé par aucune concession de l'employeur, est clairement contraire à l' art. 341 al. 1 CO , de caractère impératif (cf. art. 362 CO ). La recourante soutient toutefois que le "finiquito" est soumis au droit chilien et conforme à ce droit.</w:t>
      </w:r>
    </w:p>
    <w:p>
      <w:r>
        <w:t>Il importe peu de savoir si la quittance pour solde de tout compte est soumise ou non au droit chilien pour la raison suivante. D'un côté, la recourante s'est obligée, envers les autorités suisses, à respecter les conditions de salaire et de travail en vigueur à Genève pour les employés de maison et, comme on l'a vu, l'intimée peut déduire des droits de cet engagement par le biais de l' art. 342 al. 2 CO . De l'autre côté, la Mission permanente, au nom de l'État recourant, a fait signer à l'intimée, partie faible à un contrat de travail qui n'avait pas encore pris fin, un document qui consacre un salaire non conforme aux conditions de rémunération prévues impérativement par le CTT, qui ne tient pas compte du délai de congé applicable impérativement en droit suisse (correspondant du reste au délai convenu par les parties) et qui confirme un droit aux vacances plus réduit que celui accordé impérativement par le droit suisse. En invitant l'employée de maison, manifestement en état d'infériorité, à signer un tel accord, la recourante a cherché à se soustraire à ses obligations envers les autorités suisses. Ce faisant, elle a adopté un comportement contraire aux règles de la bonne foi de sorte qu'elle commet un abus de droit ( art. 2 al. 2 CC ) en opposant le "finiquito" aux prétentions de l'intimée déduites de l' art. 342 al. 2 CO . Or, le Tribunal fédéral a déjà eu l'occasion de préciser que l'interdiction de l'abus de droit faisait partie de l'ordre public positif au sens de l' art. 18 LDIP ( ATF 128 III 201 consid. 1c p. 206 s.). C'est dire qu'en l'espèce, l' art. 2 al. 2 CC , directement applicable, empêche la recourante de déduire un quelconque droit de la quittance pour solde de tout compte du 6 mars 2008.</w:t>
      </w:r>
    </w:p>
    <w:p>
      <w:r>
        <w:rPr>
          <w:b/>
        </w:rPr>
        <w:t>E. 2.7</w:t>
      </w:r>
    </w:p>
    <w:p>
      <w:r>
        <w:t>Il reste à examiner le dernier moyen soulevé par la recourante, fondé sur la prescription en droit chilien.</w:t>
      </w:r>
    </w:p>
    <w:p>
      <w:r>
        <w:t>Les prétentions litigieuses relèvent du droit suisse. Conformément à l' art. 148 al. 1 LDIP , le droit applicable à la créance en régit la prescription. Contrairement à ce que la recourante soutient, c'est donc bien le droit suisse qui s'applique à la question de la prescription des prétentions en cause.</w:t>
      </w:r>
    </w:p>
    <w:p>
      <w:r>
        <w:t>Aux termes de l' art. 128 ch. 3 CO , les créances des travailleurs pour leurs services se prescrivent par cinq ans; sont concernées notamment les créances de salaire et l'indemnité pour vacances non prises (cf. ATF 136 III 94 consid. 4.1 p. 95). Indépendamment de la question de savoir si l'employée vivait dans le ménage de l'employeur au sens de l' art. 134 al. 1 ch. 4 CO , comme la cour cantonale l'a admis, aucune des créances litigieuses ne pouvait être atteinte par la prescription lors de l'introduction de l'action en date du 22 mai 2008, dès lors que le contrat de travail avait pris effet moins de cinq ans auparavant, soit le 1er octobre 2005 (cf. art. 135 ch. 2 CO ). Le moyen fondé sur la prescription ne peut être qu'écarté.</w:t>
      </w:r>
    </w:p>
    <w:p>
      <w:r>
        <w:rPr>
          <w:b/>
        </w:rPr>
        <w:t>E. 3</w:t>
      </w:r>
    </w:p>
    <w:p>
      <w:r>
        <w:t>Sur le vu de ce qui précède, le recours doit être rejeté.</w:t>
      </w:r>
    </w:p>
    <w:p>
      <w:r>
        <w:t>En conséquence, la recourante prendra à sa charge les frais judiciaires ( art. 66 al. 1 LTF ), dont le montant ne sera pas réduit puisque la valeur litigieuse est supérieure à 30'000 fr. (cf. art. 65 al. 4 let . c LTF). En outre, elle versera des dépens à l'intimée ( art. 68 al. 1 et 2 LTF ), dont la demande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