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4A_291/2025 vom 20. Mai 2026</w:t>
      </w:r>
    </w:p>
    <w:p>
      <w:r>
        <w:t>Bundesgericht, 2026-05-20, FR</w:t>
      </w:r>
    </w:p>
    <w:p>
      <w:r>
        <w:rPr>
          <w:b/>
        </w:rPr>
        <w:t xml:space="preserve">Quelle: </w:t>
      </w:r>
      <w:r>
        <w:t>https://mcp.opencaselaw.ch/entscheid/bger_4A_291_2025</w:t>
      </w:r>
    </w:p>
    <w:p>
      <w:r>
        <w:t>FR: TF 4A_291/2025 du 20 mai 2026</w:t>
      </w:r>
    </w:p>
    <w:p>
      <w:r>
        <w:t>IT: TF 4A_291/2025 del 20 maggio 2026</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de sorte qu'il convient d'entrer en matière.</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Invoquant une constatation manifestement inexacte des faits et une violation de la légitimation passive et du principe de la transparence, le recourant reproche à la Cour de justice d'avoir considéré qu'il était personnellement engagé par le contrat conclu avec l'intimée.</w:t>
      </w:r>
    </w:p>
    <w:p>
      <w:r>
        <w:rPr>
          <w:b/>
        </w:rPr>
        <w:t>E. 3.1</w:t>
      </w:r>
    </w:p>
    <w:p>
      <w:r>
        <w:t>La légitimation passive (ou qualité pour défendre) relève du fondement matériel de l'action à prouver par la partie demanderesse. Elle est examinée d'office et librement par le Tribunal fédéral ( art. 106 al. 1 LTF ; ATF 142 III 782 consid. 3.1.3.2 et 3.1.4; 130 III 417 consid. 3.1; 128 III 50 consid. 2a et 2b/bb; 126 III 59 consid. 1a), mais dans les limites des faits allégués et établis lorsque, comme en l'espèce, le litige est soumis à la maxime des débats ( ATF 130 III 550 consid. 2; 118 Ia 129 consid. 1). Le défaut de qualité pour agir ou pour défendre entraîne le rejet de la demande ( ATF 142 III 782 consid. 3.1.4).</w:t>
      </w:r>
    </w:p>
    <w:p>
      <w:r>
        <w:rPr>
          <w:b/>
        </w:rPr>
        <w:t>E. 3.2</w:t>
      </w:r>
    </w:p>
    <w:p>
      <w:r>
        <w:t>En droit suisse des contrats, la question de savoir si les parties ont conclu un accord, quels en sont les cocontractants et quel en est le contenu, est soumise au principe de la priorité de la volonté subjective sur la volonté objective ( ATF 144 III 93 consid. 5.2.1; 123 III 35 consid 2b; arrêt 4A_219/2024 du 2 avril 2025 consid. 4.1).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4A_138/2024 du 31 janvier 2025 consid. 3.1.1).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3.3</w:t>
      </w:r>
    </w:p>
    <w:p>
      <w:r>
        <w:t>La jurisprudence admet que celui qui attend d'être recherché personnellement pour faire état de sa qualité de représentant (au sens des art. 32 ss CO ), qu'il n'a pas révélée lors de la conclusion du contrat, commet un abus de droit manifeste (</w:t>
      </w:r>
    </w:p>
    <w:p>
      <w:r>
        <w:t>venire contra factum proprium ) qui n'est pas protégé par la loi en vertu de l' art. 2 al. 2 CC ( ATF 117 II 387 consid. 2a; arrêt 4A_473/2011 du 22 décembre 2011 consid. 2.2). L'existence d'un abus de droit se détermine selon l'ensemble des circonstances du cas d'espèce (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 ATF 141 III 119 consid. 7.1.1). L'abus de droit peut encore résider dans l'adoption d'une attitude contradictoire, en particulier lorsqu'elle suscite des attentes légitimes qui sont ensuite trahies ( ATF 138 III 401 consid. 2.2; arrêt 4A_424/2021 du 23 juin 2022 consid. 4.1.2).</w:t>
      </w:r>
    </w:p>
    <w:p>
      <w:r>
        <w:rPr>
          <w:b/>
        </w:rPr>
        <w:t>E. 3.4</w:t>
      </w:r>
    </w:p>
    <w:p>
      <w:r>
        <w:t>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 art. 2 al. 2 CC ; sur le principe de la transparence en général: cf. ATF 132 III 489 consid. 3.2).</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144 III 541 consid. 8.3.2; 132 III 489 consid. 3.2; 121 III 319 consid. 5a/aa; 102 III 165 consid. II.1; arrêt 4A_331/2023 du 6 janvier 2025); tel est le cas, par exemple, si la dualité des sujets n'est invoquée qu'aux fins de se soustraire abusivement à l'exécution forcée ( ATF 132 III 489 consid. 3.2). S'agissant de l'abus de droit, il n'y a pas de définition spécifique au</w:t>
      </w:r>
    </w:p>
    <w:p>
      <w:r>
        <w:t>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 ATF 132 III 489 consid. 3.2; arrêt 5C.201/2001 du 20 décembre 2001 consid. 2c).</w:t>
      </w:r>
    </w:p>
    <w:p>
      <w:r>
        <w:rPr>
          <w:b/>
        </w:rPr>
        <w:t>E. 3.5.1</w:t>
      </w:r>
    </w:p>
    <w:p>
      <w:r>
        <w:t>S'agissant des sociétés immobilières, il est incontesté que le recourant n'a pas expressément informé sa cocontractante qu'il agissait en tant qu'administrateur de ses sociétés immobilières et qu'il s'est prévalu de ce fait lorsqu'il a été recherché personnellement.</w:t>
      </w:r>
    </w:p>
    <w:p>
      <w:r>
        <w:t>Les juges précédents n'ont à aucun moment établi la volonté subjective ou objective des parties sur la base de l' art. 18 CO , mais ont uniquement fondé leur analyse sur l'existence d'un abus de droit. Les faits de l'arrêt querellé ne permettent ainsi pas d'établir que les parties se seraient entendues sur le fait que le recourant aurait été seul cocontractant à l'exclusion de ses sociétés. Rien n'a été constaté en fait à cet égard. L'abus de droit retenu repose sur le fait que le recourant avait invoqué son absence de légitimation passive après avoir laissé entendre à l'intimée qu'il s'engageait personnellement et non au nom de ses sociétés immobilières, ce qui était abusif.</w:t>
      </w:r>
    </w:p>
    <w:p>
      <w:r>
        <w:rPr>
          <w:b/>
        </w:rPr>
        <w:t>E. 3.5.2</w:t>
      </w:r>
    </w:p>
    <w:p>
      <w:r>
        <w:t>Les faits de l'arrêt attaqué retiennent que le recourant revêtait la qualité d'administrateur unique des SA. Il était doté d'un droit de signature individuelle, dûment inscrit au registre du commerce. La Cour de justice a retenu que les contrats de prêts hypothécaires, respectivement les emprunts hypothécaires, avaient été conclus entre les sociétés immobilières et les instituts bancaires (H.________ SA et Banque G.________). La rencontre du 29 janvier 2020 avec l'intimée avait pour objectif de réduire les coûts de financement des prêts hypothécaires contractés par D.________ et E.________ auprès de H.________ SA, respectivement d'obtenir des financements additionnels pour ces sociétés. La cour cantonale a constaté que l'intimée avait établi différentes notes. Celle du 26 février 2020, a été préparée "à l'attention de M. A.B.________", mais montre toutefois que les recommandations et conseils étaient destinés directement aux sociétés immobilières. Celle du 24 février 2020 a été adressée, selon les faits constatés, directement à l'attention de D.________ et comprenait des "rapports d'évaluation" pour les immeubles propriétés des sociétés immobilières. La note du 11 mars 2020, aussi établie à l'attention de A.B.________, se rapportait au processus de refinancement envisagé pour D.________, E.________ et les enfants B.________. Comme le relève ainsi le recourant dans le cadre de son grief lié à l'établissement des faits, les notes se référaient aux sociétés immobilières.</w:t>
      </w:r>
    </w:p>
    <w:p>
      <w:r>
        <w:rPr>
          <w:b/>
        </w:rPr>
        <w:t>E. 3.5.3</w:t>
      </w:r>
    </w:p>
    <w:p>
      <w:r>
        <w:t>Au vu de ces éléments, des circonstances particulières pour retenir un abus de droit font défaut. Il convient de rappeler qu'un abus de droit au sens de l' art. 2 al. 2 CC doit être admis restrictivement, comme l'exprime l'adjectif "manifeste" utilisé dans le texte légal ( ATF 143 III 279 consid. 3.1; 135 III 162 consid. 3.3.1; arrêt 4A_287/2025 du 13 janvier 2026 consid. 4.1). Or dans le cas d'espèce, s'il est exact que le recourant n'a jamais expressément précisé qu'il agissait pour le compte de ses sociétés, il ne peut pas pour autant lui être reproché d'avoir adopté une attitude contradictoire ou d'avoir conforté l'intimée dans son erreur. Les échanges entre les parties intervenaient toujours dans le cadre d'un refinancement des emprunts hypothécaires réalisés par les sociétés immobilières, les documents échangés entre les parties faisaient expressément référence aux sociétés emprunteuses et la rémunération de l'intimée avait été fixée en fonction du montant nominal des prêts négociés pour les sociétés. Comme retenu dans l'état de fait de l'arrêt querellé, il s'agissait en effet de renégocier des prêts qui liaient les personnes morales aux établissements bancaires, de sorte que celles-ci étaient directement intéressées par l'activité de l'intimée. Cette dernière intervenait par ailleurs auprès de la Banque G.________ directement pour le compte des sociétés immobilières et non pour le recourant.</w:t>
      </w:r>
    </w:p>
    <w:p>
      <w:r>
        <w:t>Dans de telles circonstances, il ne peut pas être reproché au recourant d'avoir voulu dissimuler à l'intimée des informations quant à la partie qui s'engageait réellement dans les relations contractuelles. À aucun moment, il ne ressort de l'arrêt attaqué que le recourant aurait indiqué qu'il s'engageait personnellement. Le fait qu'il intervenait en son nom personnel dans les correspondances et échanges avec l'intimée n'est pas suffisant pour retenir un abus de droit manifeste. Une personne morale ne peut en effet agir que par le biais de ses organes, de sorte que le recourant, qui était l'administrateur unique de ses sociétés, pouvait directement intervenir au nom de celles-ci sans en être un représentant (cf. art. 718 al. 1 CO ; ATF 146 III 37 consid. 5.1; 138 III 337 consid. 6.1; arrêt 4A_616/2019 du 17 avril 2020 consid. 4.1.2). Dans cette mesure, il n'est pas décisif que le recourant n'ait pas contesté sa qualité de débiteur lorsqu'une proposition d'honoraires lui a été adressée par l'intimée, puisque, dans sa conception, il agissait alors directement en tant qu'organe des sociétés immobilières.</w:t>
      </w:r>
    </w:p>
    <w:p>
      <w:r>
        <w:t>En définitive, les faits de l'arrêt attaqué ne permettent pas de mettre en évidence une attitude contradictoire de la part du recourant, pas plus qu'il ne peut lui être reproché d'avoir conforté l'intimée dans son erreur.</w:t>
      </w:r>
    </w:p>
    <w:p>
      <w:r>
        <w:rPr>
          <w:b/>
        </w:rPr>
        <w:t>E. 3.5.4</w:t>
      </w:r>
    </w:p>
    <w:p>
      <w:r>
        <w:t>Enfin, la théorie de la transparence (</w:t>
      </w:r>
    </w:p>
    <w:p>
      <w:r>
        <w:t>Durchgriff ), invoquée lapidairement et à titre subsidiaire par la Cour de justice pour certaines des sociétés, ne trouvait pas application dans un tel cas de figure. La condition de l'invocation abusive de la dualité juridique, c'est-à-dire pour en tirer un avantage injustifié, n'est en l'espèce pas réunie pour les motifs précités. Les faits ne permettent en effet pas de retenir que le recourant aurait invoqué abusivement la dualité juridique pour se soustraire à ses obligations personnelles et porter une atteinte qualifiée aux intérêts de l'intimée (cf. ATF 144 III 541 consid. 8.3.2; 132 III 489 consid. 3.2; arrêt 4A_590/2024 du 18 décembre 2025 consid. 4.1).</w:t>
      </w:r>
    </w:p>
    <w:p>
      <w:r>
        <w:rPr>
          <w:b/>
        </w:rPr>
        <w:t>E. 3.6</w:t>
      </w:r>
    </w:p>
    <w:p>
      <w:r>
        <w:t>Concernant les enfants B.________, le recourant soutient qu'il était intervenu en qualité de représentant direct. Sur ce point, la Cour de justice n'a pas non plus procédé à une interprétation de la volonté des parties afin d'examiner si des pouvoirs de représentation avaient été octroyés au recourant (cf. à cet égard: ATF 146 III 121 consid. 3.2.1). Elle a en revanche retenu l'existence d'un abus de droit.</w:t>
      </w:r>
    </w:p>
    <w:p>
      <w:r>
        <w:t>Or pour les mêmes motifs que ceux développés en lien avec les sociétés immobilières, son raisonnement ne peut pas être suivi. L'intimée avait en effet été mandatée pour le refinancement des emprunts hypothécaires contractés par les enfants B.________ et les honoraires dus à l'intimée étaient notamment déterminés sur la base d'un pourcentage des prêts obtenus pour les emprunteurs. Dans de telles circonstances, le fait qu'il n'ait pas expressément révélé sa qualité de représentant ne signifie pas encore qu'il aurait voulu la dissimuler ou induire en erreur l'intimée.</w:t>
      </w:r>
    </w:p>
    <w:p>
      <w:r>
        <w:rPr>
          <w:b/>
        </w:rPr>
        <w:t>E. 3.7</w:t>
      </w:r>
    </w:p>
    <w:p>
      <w:r>
        <w:t>Au vu de ce qui précède, la cour cantonale a violé l' art. 2 CC en retenant un abus de droit manifeste. Dès lors que la solution cantonale repose uniquement sur cet abus de droit, l'arrêt attaqué est au surplus insuffisant pour saisir la portée des relations entre les parties. En particulier, la cour cantonale n'a pas procédé à une analyse sur le plan subjectif, respectivement objectif de la relation contractuelle (</w:t>
      </w:r>
    </w:p>
    <w:p>
      <w:r>
        <w:t>supra consid. 3.2). Au vu des constatations factuelles, il n'est en l'état pas possible pour le Tribunal fédéral de déterminer si les parties s'étaient entendues sur la personne du cocontractant ou si un désaccord subsistait sur cette question, respectivement si l'intimée aurait dû se rendre compte, en application du principe de la confiance, que le recourant ne s'engageait pas personnellement.</w:t>
      </w:r>
    </w:p>
    <w:p>
      <w:r>
        <w:t>Dans ces conditions, la cause doit être renvoyée à l'instance précédente afin qu'elle procède à une nouvelle analyse en appréciant les éléments probants et qu'elle en tire les déductions juridiques qui s'imposent s'agissant de la légitimation passive du recourant. Dans cette mesure, il n'est pas nécessaire d'examiner les autres griefs liés au principe et à la quotité de la rémunération.</w:t>
      </w:r>
    </w:p>
    <w:p>
      <w:r>
        <w:rPr>
          <w:b/>
        </w:rPr>
        <w:t>E. 4</w:t>
      </w:r>
    </w:p>
    <w:p>
      <w:r>
        <w:t>Le recours est admis, l'arrêt cantonal est annulé et la cause est renvoyée à la Cour de justice pour nouvelle décision.</w:t>
      </w:r>
    </w:p>
    <w:p>
      <w:r>
        <w:t>Les frais judiciaires sont mis à la charge de l'intimée qui succombe (cf. art. 66 al. 1 LTF ). Cette dernière versera en outre une indemnité de dépens au recourant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