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291/2014 vom 9. April 2015</w:t>
      </w:r>
    </w:p>
    <w:p>
      <w:r>
        <w:t>Bundesgericht, 2015-04-09, IT</w:t>
      </w:r>
    </w:p>
    <w:p>
      <w:r>
        <w:rPr>
          <w:b/>
        </w:rPr>
        <w:t xml:space="preserve">Quelle: </w:t>
      </w:r>
      <w:r>
        <w:t>https://mcp.opencaselaw.ch/entscheid/bger_4A_291_2014</w:t>
      </w:r>
    </w:p>
    <w:p>
      <w:r>
        <w:t>FR: TF 4A 291/2014 du 9 avril 2015</w:t>
      </w:r>
    </w:p>
    <w:p>
      <w:r>
        <w:t>IT: TF 4A 291/2014 del 9 aprile 2015</w:t>
      </w:r>
    </w:p>
    <w:p>
      <w:pPr>
        <w:pStyle w:val="Heading2"/>
      </w:pPr>
      <w:r>
        <w:t>Regeste</w:t>
      </w:r>
    </w:p>
    <w:p>
      <w:r>
        <w:t>dolo del venditore | Diritto contrattuale</w:t>
      </w:r>
    </w:p>
    <w:p>
      <w:pPr>
        <w:pStyle w:val="Heading2"/>
      </w:pPr>
      <w:r>
        <w:t>Erwägungen</w:t>
      </w:r>
    </w:p>
    <w:p>
      <w:r>
        <w:rPr>
          <w:b/>
        </w:rPr>
        <w:t>E. 1</w:t>
      </w:r>
    </w:p>
    <w:p>
      <w:r>
        <w:t>Il tempestivo ( art. 46 cpv. 1 lett. a LTF combinato con l' art. 100 cpv. 1 LTF ) ricorso presentato dalla parte soccombente ( art. 76 cpv. 1 LTF ) contro una sentenza finale ( art. 90 LTF ) emanata su ricorso dall'autorità ticinese di ultima istanza ( art. 75 LTF ) in una causa civile ( art. 72 cpv. 1 LTF ) con un valore litigioso superiore a fr. 30'000.-- ( art. 74 cpv. 1 lett. b LTF ) è in linea di principio ammissibile.</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deve inoltre dimostrare che l'eliminazione dell'asserito vizio può influire in maniera determinante sull'esito della causa ( art. 97 cpv. 1 LTF ).</w:t>
      </w:r>
    </w:p>
    <w:p>
      <w:r>
        <w:rPr>
          <w:b/>
        </w:rPr>
        <w:t>E. 3</w:t>
      </w:r>
    </w:p>
    <w:p>
      <w:r>
        <w:t>Giova innanzi tutto ricordare che nella fattispecie il ricorrente riconosce che davanti all'ultima istanza cantonale egli non si è più avvalso di un vizio di volontà (art. 24 segg. CO), ma si è limitato a prevalersi di un dolo del venditore secondo l'art. 205 (recte: 203) CO. In queste circostanze appare inutile esaminare se il difetto lamentato sia - come preteso nel gravame - occulto, atteso che qualora sussista effettivamente un dolo del venditore nel senso dell' art. 203 CO , questi non può invocare un'eventuale tardività della notificazione ( DTF 66 II 132 consid. 6 pag. 140).</w:t>
      </w:r>
    </w:p>
    <w:p>
      <w:r>
        <w:rPr>
          <w:b/>
        </w:rPr>
        <w:t>E. 4</w:t>
      </w:r>
    </w:p>
    <w:p>
      <w:r>
        <w:t>L'applicazione dell' art. 203 CO richiede esplicitamente che il venditore abbia intenzionalmente ingannato il compratore.</w:t>
      </w:r>
    </w:p>
    <w:p>
      <w:r>
        <w:rPr>
          <w:b/>
        </w:rPr>
        <w:t>E. 4.1</w:t>
      </w:r>
    </w:p>
    <w:p>
      <w:r>
        <w:t>La Corte di appello ha constatato che l'attore non ha fatto eseguire un esame contabile della società prima della firma del contratto con cui ha acquistato le azioni e che anche il venditore era un tecnico attivo sui cantieri, il quale non disponeva di particolari conoscenze contabili. Essa ha quindi escluso un inganno intenzionale perché quest'ultimo non era in grado di rendersi conto che la valutazione dei lavori in corso e dei crediti nel bilancio al 31 dicembre 2001 non era conforme ai principi contabili generalmente riconosciuti. La Corte cantonale ha soggiunto che, prima dell'acquisto, il compratore ha avuto ampia occasione di accedere ai libri contabili, di chiedere spiegazioni a chi allestiva la contabilità e di far verificare i conti. Inoltre egli, quale capocantiere dell'impresa, era a conoscenza dei lavori in corso e della loro importanza.</w:t>
      </w:r>
    </w:p>
    <w:p>
      <w:r>
        <w:rPr>
          <w:b/>
        </w:rPr>
        <w:t>E. 4.2</w:t>
      </w:r>
    </w:p>
    <w:p>
      <w:r>
        <w:t>Il ricorrente sostiene invece che l'opponente era consapevole che la situazione finanziaria al momento della vendita era ben diversa da quella che ha garantito, atteso che la differenza era "macroscopica". Afferma che il venditore era pure titolare di altre due imprese e aveva una grande esperienza nella gestione di cantieri. Inoltre anche il comportamento di questi prima, durante e dopo la firma del contratto sarebbe un indizio della conoscenza della pregiudicata situazione economica.</w:t>
      </w:r>
    </w:p>
    <w:p>
      <w:r>
        <w:rPr>
          <w:b/>
        </w:rPr>
        <w:t>E. 4.3</w:t>
      </w:r>
    </w:p>
    <w:p>
      <w:r>
        <w:t>Occorre innanzi tutto osservare che, con la sua argomentazione, il ricorrente inammissibilmente completa ed interpreta liberamente la fattispecie risultante dalla sentenza impugnata, parendo così dimenticare le condizioni che permettono di censurare gli accertamenti di fatto effettuati dalla Corte cantonale (sopra, consid. 2). Il giudizio impugnato non contiene ad esempio alcun accertamento concernente un comportamento dell'opponente nel senso descritto dal gravame, ma il ricorrente nemmeno afferma che esso sarebbe incompleto. Questi deduce poi la conoscenza del venditore dell'effettiva situazione finanziaria della società prevalentemente dalla discrepanza in seguito riscontrata fra il valore dei lavori in corso reale e quello indicato nei libri contabili. Sennonché il ricorrente neppure contesta la constatazione della Corte cantonale secondo cui egli, quale capocantiere, era a conoscenza di tali lavori e della loro importanza e che egli aveva dato atto nel contratto di avere preso visione dei libri contabili. Alla luce di questa circostanza la conclusione contenuta nella pronunzia di appello secondo cui la valutazione dei lavori in corso era una questione delicata appare corretta. Ciò depone manifestamente contro l'argomentazione ricorsuale secondo cui dalla "macroscopica" differenza tra la reale situazione economica-finanziaria e quella risultante dalla contabilità vada necessariamente dedotta l'esistenza di un inganno intenzionale. Così stando le cose, la Corte cantonale non ha violato il diritto federale confermando la reiezione della petizione.</w:t>
      </w:r>
    </w:p>
    <w:p>
      <w:r>
        <w:rPr>
          <w:b/>
        </w:rPr>
        <w:t>E. 5</w:t>
      </w:r>
    </w:p>
    <w:p>
      <w:r>
        <w:t>Da quanto precede discende che il ricorso si appalesa, nella misura in cui è ammissibile, manifestamente infondato. La domanda di assistenza giudiziaria del ricorrente va respinta, indipendentemente dalla sua pretesa indigenza, poiché il rimedio era fin dall'inizio privo di possibilità di successo ( art. 64 cpv. 1 LTF ). Le spese giudiziarie seguono quindi la soccombenza ( art. 66 cpv. 1 LTF ), mentre non si giustifica assegnare ripetibili all'opponente, che non essendo stato invitato a determinarsi, non è incorso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