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4A_290/2013 vom 30. Juli 2013</w:t>
      </w:r>
    </w:p>
    <w:p>
      <w:r>
        <w:t>Bundesgericht, 2013-07-30, FR</w:t>
      </w:r>
    </w:p>
    <w:p>
      <w:r>
        <w:rPr>
          <w:b/>
        </w:rPr>
        <w:t xml:space="preserve">Quelle: </w:t>
      </w:r>
      <w:r>
        <w:t>https://mcp.opencaselaw.ch/entscheid/bger_4A_290_2013</w:t>
      </w:r>
    </w:p>
    <w:p>
      <w:r>
        <w:t>FR: TF 4A_290/2013 du 30 juillet 2013</w:t>
      </w:r>
    </w:p>
    <w:p>
      <w:r>
        <w:t>IT: TF 4A_290/2013 del 30 luglio 2013</w:t>
      </w:r>
    </w:p>
    <w:p>
      <w:pPr>
        <w:pStyle w:val="Heading2"/>
      </w:pPr>
      <w:r>
        <w:t>Erwägungen</w:t>
      </w:r>
    </w:p>
    <w:p>
      <w:r>
        <w:rPr>
          <w:b/>
        </w:rPr>
        <w:t>E. 1</w:t>
      </w:r>
    </w:p>
    <w:p>
      <w:r>
        <w:t>Le prononcé relatif au versement de sûretés en garantie des dépens ne termine pas l'instance introduite devant la Cour de justice; il s'agit au contraire d'une décision incidente visée par l' art. 93 al. 1 LTF . La recevabilité du recours en matière civile suppose que cette décision soit de nature à causer un préjudice irréparable aux termes de l' art. 93 al. 1 let. a LTF .</w:t>
      </w:r>
    </w:p>
    <w:p>
      <w:r>
        <w:t>Selon la jurisprudence relative à cette dernière disposition,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134 III 188 consid. 2.2 p. 191; 133 III 629 consid. 2.3.1 p. 632; 131 I 57 consid. 1 p. 59). Il incombe à la partie recourante d'indiquer de manière détaillée en quoi elle se trouve menacée d'un préjudice juridique irréparable par la décision incidente qu'elle conteste; à défaut, le recours est irrecevable ( ATF 137 III 324 consid. 1.1 p. 324).</w:t>
      </w:r>
    </w:p>
    <w:p>
      <w:r>
        <w:t>Les défendeurs se disent exposés au risque de ne pas pouvoir, ou de ne pouvoir que très difficilement, par suite de l'insuffisance des sûretés, recouvrer entièrement les dépens auxquels ils pourront en principe prétendre s'ils obtiennent gain de cause dans la procédure entreprise par leurs adverses parties.</w:t>
      </w:r>
    </w:p>
    <w:p>
      <w:r>
        <w:t>Les sûretés en garantie des dépens constituent une protection légalement prévue par les art. 99 à 101 CPC en faveur de la partie attraite en justice par une autre partie. Le Tribunal fédéral a déjà reconnu que le déni total ou partiel de cette protection, résultant d'une décision incidente refusant les sûretés ou ordonnant un montant insuffisant, est un préjudice juridique auquel même une décision finale favorable à la partie attraite n'apportera pas de remède (arrêt 4A_290/2008 du 4 mai 2009, consid. 3.3). Nonobstant l'opinion différente des demandeurs, le recours est donc recevable au regard de l' art. 93 al. 1 let. a LTF .</w:t>
      </w:r>
    </w:p>
    <w:p>
      <w:r>
        <w:t>Les conditions de recevabilité du recours en matière civile sont par ailleurs satisfaites.</w:t>
      </w:r>
    </w:p>
    <w:p>
      <w:r>
        <w:rPr>
          <w:b/>
        </w:rPr>
        <w:t>E. 2</w:t>
      </w:r>
    </w:p>
    <w:p>
      <w:r>
        <w:t>Le code de procédure civile unifié (CPC) est entré en vigueur le 1er janvier 2011 alors que la cause était pendante devant le Tribunal de première instance. Par l'effet des art. 404 al. 1 et 405 al. 1 CPC, la procédure de première instance demeure soumise au droit cantonal antérieur tandis que l'appel est régi par le code unifié.</w:t>
      </w:r>
    </w:p>
    <w:p>
      <w:r>
        <w:rPr>
          <w:b/>
        </w:rPr>
        <w:t>E. 3</w:t>
      </w:r>
    </w:p>
    <w:p>
      <w:r>
        <w:t>Il n'est pas mis en doute que les défendeurs aient le droit d'exiger des sûretés en garantie des dépens; la contestation ne porte que sur le montant de ces sûretés.</w:t>
      </w:r>
    </w:p>
    <w:p>
      <w:r>
        <w:t>En règle générale, selon l' art. 104 al. 1 CPC lu en relation avec l' art. 95 al. 1 let. b CPC , le montant des dépens est arrêté définitivement dans la décision finale, d'après le tarif cantonal prévu par l' art. 96 CPC . Au moment d'ordonner des sûretés en garantie des dépens, le juge doit donc évaluer les dépens présumables en tenant compte du tarif (Benedikt Suter et Cristina von Holzen, in Kommentar zur Schweizerischen Zivilprozessordnung, Thomas Sutter-Somm et al., éd., 2e éd., 2013, n° 6 ad art. 100 CPC ). Selon l' art. 95 al. 3 let. b CPC , les dépens sont notamment destinés à couvrir le défraiement - en réalité, la rémunération et le défraiement - d'un mandataire professionnel.</w:t>
      </w:r>
    </w:p>
    <w:p>
      <w:r>
        <w:t>La Cour de justice a retenu le montant de 25'000 francs. Les défendeurs le tiennent pour gravement sous-estimé; invoquant l' art. 9 Cst. , ils se plaignent d'une application prétendument arbitraire du tarif cantonal.</w:t>
      </w:r>
    </w:p>
    <w:p>
      <w:r>
        <w:t>Une décision est arbitraire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138 I 305 consid. 4.3 p. 319; 137 I 1 consid. 2.4 p. 5; 136 III 552 consid. 4.2 p. 560).</w:t>
      </w:r>
    </w:p>
    <w:p>
      <w:r>
        <w:rPr>
          <w:b/>
        </w:rPr>
        <w:t>E. 4</w:t>
      </w:r>
    </w:p>
    <w:p>
      <w:r>
        <w:t>L'art. 20 al. 1 de la loi genevoise d'application du code civil suisse et d'autres lois fédérales en matière civile, du 11 octobre 2012 (LACC), prévoit que le défraiement d'un représentant professionnel est en règle générale proportionnel à la valeur litigieuse. Il doit être taxé dans les limites à établir par un règlement du Conseil d'Etat, d'après l'importance de la cause, ses difficultés, l'ampleur du travail et le temps employé. Le règlement est celui du 22 décembre 2010 fixant le tarif des frais en matière civile; il contient diverses dispositions sur l'évaluation du défraiement d'après la valeur litigieuse.</w:t>
      </w:r>
    </w:p>
    <w:p>
      <w:r>
        <w:t>Selon son intitulé, l'art. 23 al. 2 LACC concerne les « cas spéciaux »; il prévoit que « lorsque le procès ne se termine pas par une décision au fond mais en particulier par un retrait du recours, un désistement, une transaction ou une décision d'irrecevabilité, le défraiement peut être réduit en conséquence ».</w:t>
      </w:r>
    </w:p>
    <w:p>
      <w:r>
        <w:t>En l'espèce, la Cour de justice n'a pas à statuer en appel sur l'action en dommages-intérêts intentée par les demandeurs, mais seulement sur l'exception d'incompétence que le Tribunal de première instance a accueillie; si la Cour ne confirme pas le jugement, elle renverra la cause au tribunal. La procédure d'appel ne se terminera donc pas par une décision « au fond », d'où il résulte que l'art. 23 al. 2 LACC sera applicable à l'évaluation du défraiement. Cette disposition ne comporte aucune référence à la valeur litigieuse et elle peut sans arbitraire être interprétée en ce sens que dans les affaires concernées, la valeur litigieuse n'est pas un élément d'appréciation important. A l'appui du recours en matière civile, les défendeurs discutent de manière détaillée, surtout, l'application du règlement prévu par l'art. 20 al. 1 LACC. Compte tenu que ce règlement ne peut certainement pas déroger aux règles établies directement par la loi, leur argumentation est inapte à mettre en évidence une application éventuellement arbitraire de l'art. 23 al. 2 LACC. Pour le surplus, à première vue, les défendeurs n'auront guère qu'à déposer, devant la Cour de justice, un mémoire de réponse à l'appel où ils se borneront à discuter la compétence du for; le montant de 25'000 fr. devrait alors raisonnablement suffire à couvrir la rémunération de leur conseil. L'appréciation de la Cour résiste ainsi au grief d'arbitraire.</w:t>
      </w:r>
    </w:p>
    <w:p>
      <w:r>
        <w:rPr>
          <w:b/>
        </w:rPr>
        <w:t>E. 5</w:t>
      </w:r>
    </w:p>
    <w:p>
      <w:r>
        <w:t>Les défendeurs invoquent également la garantie du droit d'être entendu conférée par l' art. 29 al. 2 Cst. ; ils se plaignent d'une motivation prétendument insuffisante de la décision attaquée. Ils critiquent les éléments d'appréciation retenus et mentionnés par la Cour de justice mais leurs arguments se confondent avec ceux par ailleurs développés en rapport avec l' art. 9 Cst. ; ils ne mettent pas sérieusement en doute que l'on puisse comprendre, à la lecture de la décision attaquée, comment la Cour est parvenue à fixer les sûretés au montant de 25'000 francs. Or, cela satisfait aux exigences minimales de la garantie du droit d'être entendu (cf. ATF 138 I 232 consid. 5.1 p. 237; 136 I 229 consid. 5.2 p. 236).</w:t>
      </w:r>
    </w:p>
    <w:p>
      <w:r>
        <w:t>Les défendeurs font encore état de la garantie d'un procès équitable conférée notamment par l' art. 6 par. 1 CEDH ; toutefois, cette protection constitutionnelle ne garantit pas, à la partie qui obtient gain de cause, le droit d'obtenir des dépens ( ATF 134 II 117 consid. 7 p. 119); à plus forte raison, elle ne garantit pas non plus le droit d'exiger des sûretés en garantie des dépens.</w:t>
      </w:r>
    </w:p>
    <w:p>
      <w:r>
        <w:rPr>
          <w:b/>
        </w:rPr>
        <w:t>E. 6</w:t>
      </w:r>
    </w:p>
    <w:p>
      <w:r>
        <w:t>Le recours se révèle privé de fondement, ce qui conduit à son rejet. A titre de parties qui succombent, ses auteurs doivent acquitter l'émolument à percevoir par le Tribunal fédéral et les dépens auxquels leurs adverses parties peuvent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