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4A_288/2019 vom 11. September 2019</w:t>
      </w:r>
    </w:p>
    <w:p>
      <w:r>
        <w:t>Bundesgericht, 2019-09-11, DE</w:t>
      </w:r>
    </w:p>
    <w:p>
      <w:r>
        <w:rPr>
          <w:b/>
        </w:rPr>
        <w:t xml:space="preserve">Quelle: </w:t>
      </w:r>
      <w:r>
        <w:t>https://mcp.opencaselaw.ch/entscheid/bger_4A_288_2019</w:t>
      </w:r>
    </w:p>
    <w:p>
      <w:r>
        <w:t>FR: TF 4A_288/2019 du 11 septembre 2019</w:t>
      </w:r>
    </w:p>
    <w:p>
      <w:r>
        <w:t>IT: TF 4A_288/2019 del 11 settembre 2019</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Endentscheid ( Art. 90 BGG ) eines oberen kantonalen Gerichts, das als Fachgericht für handelsrechtliche Streitigkeiten als einzige kantonale Instanz entschieden hat ( Art. 75 Abs. 2 lit. b BGG ). Die Beschwerdeführerin ist mit ihren Anträgen unterlegen ( Art. 76 BGG ), ein Streitwert ist nicht verlangt ( Art. 74 Abs. 2 lit. b BGG ) und die Beschwerdefrist ist eingehalten ( Art. 100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 BGE 136 V 131 E. 1.2; 134 III 379 E. 1.3 S. 383; 133 III 489 E. 3.1). Es genügt zudem, wenn aus der Beschwerdebegründung klar hervorgeht, in welchem Sinn der angefochtene Entscheid abgeändert werden soll (vgl. BGE 136 V 131 E. 1.2; 134 III 235 E. 2 S. 236). Allerdings besteht keine Vermutung dafür, dass eine beschwerdeführende Partei, die ihre Anträge in der Beschwerde nicht präzisiert, diejenigen übernehmen will, die sie vor der Vorinstanz gestellt hat (Urteile 5A_1048/2017 vom 4. Dezember 2018 E. 2.2; 4A_199/2016 vom 26. September 2016 E. 1.2; 4A_402/2011 vom 19. Dezember 2011 E. 1.2).</w:t>
      </w:r>
    </w:p>
    <w:p>
      <w:r>
        <w:t>Die anwaltlich vertretene Beschwerdeführerin beantragt einzig, das angefochtene Urteil sei aufzuheben und die Sache sei zu neuer Beurteilung an die Vorinstanz zurückzuweisen. Einen materiellen Antrag stellt sie nicht. Weshalb im konkreten Fall ausnahmsweise ein blosser Rückweisungsantrag genügen sollte, begründet sie in der Beschwerdeschrift mit keinem Wort. Die Vorinstanz hat über die eingeklagten bzw. widerklageweise geltend gemachten Forderungen materiell entschieden. Der Umstand, dass die Beschwerdeführerin vorwiegend formelle Rügen gegen den angefochtenen Entscheid erhebt, bedeutet nicht, dass es dem Bundesgericht verunmöglicht wäre, selbst in der Sache zu entscheiden, zumal es das Recht nach Art. 106 Abs. 1 BGG von Amtes wegen anwendet (vgl. auch Urteil 4A_632/2015 vom 13. Januar 2016 E. 1.2). Der Antrag der Beschwerdeführerin genügt demnach den gesetzlichen Anforderungen nicht, weshalb auf die Beschwerde bereits aus diesem Grund nicht einzutreten ist.</w:t>
      </w:r>
    </w:p>
    <w:p>
      <w:r>
        <w:rPr>
          <w:b/>
        </w:rPr>
        <w:t>E. 2</w:t>
      </w:r>
    </w:p>
    <w:p>
      <w:r>
        <w:t>Selbst wenn von einem hinreichenden Antrag ausgegangen würde, wären die Vorbringen der Beschwerdeführerin weitestgehend unbeachtlich; soweit die Beschwerde überhaupt hinreichende Rügen enthält, wären diese unbegründet, wie nachfolgend aufgezeigt wird:</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Beschwerdeführerin verkennt diese Grundsätze weitestgehend. Sie stellt ihren rechtlichen Vorbringen zunächst eine Sachverhaltsdarstellung voran, in der sie unter Hinweis auf kantonale Aktenstücke die Hintergründe des Rechtsstreits aus eigener Sicht schildert und dabei verschiedentlich von den tatsächlichen Feststellungen der Vorinstanz abweicht oder diese erweitert, ohne substanziiert Ausnahmen von der Sachverhaltsbindung geltend zu machen. Sie setzt sich zudem über weite Strecken nicht mit den konkreten Erwägungen des angefochtenen Entscheids auseinander und legt nicht dar, inwiefern der Vorinstanz eine Verletzung von Bundesrecht vorzuwerfen wäre, sondern unterbreitet dem Bundesgericht losgelöst von den vorinstanzlichen Erwägungen ihre eigene Sicht der Dinge zu verschiedensten Fragen, wie etwa zu den internen Abläufen in kleinen und mittleren Unternehmen (KMU) oder zu den Eigenheiten der Handelsgerichtsbarkeit. Dabei wirft sie der Vorinstanz verschiedentlich Willkür ( Art. 9 BV ) vor, verfehlt mit ihren entsprechenden Vorbringen jedoch die gesetzlichen Begründungsanforderungen an eine Verfassungsrüge. Zudem verweist sie mitunter pauschal auf die Bundesverfassung oder die EMRK und behauptet, diese seien verletzt worden, ohne dies jedoch rechtsgenügend auszuführen. Der in der Beschwerde erhobene Einwand, die Vorinstanz hätte den Parteien nach Art. 183 Abs. 3 ZPO Gelegenheit geben müssen, zum Fachrichtervotum Stellung zu nehmen, stösst von vornherein ins Leere, lag im zu beurteilenden Fall doch gar kein Fachrichtervotum vor.</w:t>
      </w:r>
    </w:p>
    <w:p>
      <w:r>
        <w:t>Die Beschwerdeführerin verfehlt zudem die gesetzlichen Begründungsanforderungen, indem sie kritisiert, dass eine Befragung von "Herrn und Frau E.________" sowie der "Hauptbeteiligten der Logistik" hätte durchgeführt werden müssen, jedoch nicht mit Aktenhinweisen aufzeigt, konkrete Beweisanträge bereits bei der Vorinstanz prozesskonform gestellt zu haben; das Vorbringen stösst deshalb von vornherein ins Leere. Ausserdem verkennt sie, dass sie gemäss den Erwägungen des angefochtenen Entscheids weder substanziiert behauptete, für welches fehlende Leergut die Beschwerdegegnerin verantwortlich sein soll, noch substanziierte Ausführungen zur Schadenshöhe machte. Lagen keine substanziierten Tatsachenbehauptungen vor, die von der Gegenpartei hätten bestritten werden können, fehlte es bereits am Gegenstand des Beweises ( Art. 150 Abs. 1 ZPO ). Ein Verzicht auf die Abnahme von Beweisen war unter diesen Umständen folgerichtig (vgl. BGE 144 III 67 E. 2.1) und bedeutet entgegen der in der Beschwerde vertretenen Ansicht keine Verletzung des Gehörsanspruchs, des Gebots eines fairen Prozesses, des Rechts auf Beweis oder des Verbots des überspitzten Formalismus. Ebenso wenig ist darin eine Voreingenommenheit der beteiligten Richter zu erblicken.</w:t>
      </w:r>
    </w:p>
    <w:p>
      <w:r>
        <w:t>Inwiefern die Vorinstanz die Anforderungen an die Substanziierung der Anspruchsvoraussetzungen überspannt hätte (dazu BGE 144 III 519 E. 5.2.1; 127 III 365 E. 2b), zeigt die Beschwerdeführerin nicht hinreichend auf. Sie legt auch vor Bundesgericht nicht dar, mit welchen ihrer konkreten Vorbringen im kantonalen Verfahren sie ihrer Substanziierungslast genügt hätte, sondern behauptet einmal mehr bloss pauschal, die einzelnen Schadenspositionen ergäben sich aus den eingereichten Unterlagen bzw. sie habe mit den eingereichten Unterlagen "den Nachweis der Fehlmengen hinreichend dokumentiert" und den "Schadenersatz wegen Image- und Kundenverlust, Zusatzaufwendungen der Widerklagereplik aufgrund der elektronisch gespeicherten Dokumentation, Korrespondenzlisten aufgrund der Fehllisten etc. nachgewiesen". Dass es an ihr gewesen wäre, den Schaden hinreichend zu substanziieren, anerkennt auch die Beschwerdeführerin, weshalb es sich erübrigt, auf die Ausführungen in der Beschwerdeschrift zur Beweis- bzw. Substanziierungslast bezüglich der weiteren Anspruchsvoraussetzungen einzugehen.</w:t>
      </w:r>
    </w:p>
    <w:p>
      <w:r>
        <w:t>Unbehelflich ist ausserdem der in der Beschwerde erhobene Vorwurf der Voreingenommenheit der beteiligten Richter, die sich daraus ergeben soll, dass der damalige Rechtsvertreter der Beschwerdegegnerin, Rechtsanwalt D.________, darauf hingewiesen worden sei, wie er sich in der Schweiz legitimieren bzw. dass er einen schweizerischen Prozessanwalt beiziehen solle. Nach der bundesgerichtlichen Rechtsprechung müssen Ablehnungs- bzw. Ausstandsgründe sofort geltend gemacht werden, wenn der Betroffene davon Kenntnis hat; wer sich trotzdem stillschweigend auf das Verfahren einlässt, verzichtet auf die Geltendmachung seiner Rechte; ein späteres Vorbringen ist treuwidrig und der Ablehnungsgrund deshalb verwirkt ( BGE 140 I 240 E. 2.4 mit Hinweisen). Die von der Beschwerdeführerin nunmehr im bundesgerichtlichen Beschwerdeverfahren beanstandeten Umstände ergaben sich ohne Weiteres aus dem Verfahrensablauf und den kantonalen Prozessakten; sie macht denn auch zu Recht nicht geltend, ein früheres Vorbringen sei ihr unmöglich gewesen. Die Rüge ist verwirkt. Ins Leere stösst auch die im gleichen Zusammenhang erhobene Rüge der Ungleichbehandlung der Parteien hinsichtlich der Substanziierungsanforderungen, zu deren Begründung die Beschwerdeführerin einzig behauptet, die Beschwerdegegnerin habe ebenfalls "bloss ein Bündel von Ausdrucken vorgelegt". Damit verfehlt sie die gesetzlichen Begründungsanforderungen.</w:t>
      </w:r>
    </w:p>
    <w:p>
      <w:r>
        <w:rPr>
          <w:b/>
        </w:rPr>
        <w:t>E. 3</w:t>
      </w:r>
    </w:p>
    <w:p>
      <w:r>
        <w:t>Auf die Beschwerde ist nicht einzutreten. Bei diesem Ausgang des Verfahrens wird die Beschwerdeführerin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