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287/2015 vom 22. Juli 2015</w:t>
      </w:r>
    </w:p>
    <w:p>
      <w:r>
        <w:t>Bundesgericht, 2015-07-22, FR</w:t>
      </w:r>
    </w:p>
    <w:p>
      <w:r>
        <w:rPr>
          <w:b/>
        </w:rPr>
        <w:t xml:space="preserve">Quelle: </w:t>
      </w:r>
      <w:r>
        <w:t>https://mcp.opencaselaw.ch/entscheid/bger_4A_287_2015</w:t>
      </w:r>
    </w:p>
    <w:p>
      <w:r>
        <w:t>FR: TF 4A 287/2015 du 22 juillet 2015</w:t>
      </w:r>
    </w:p>
    <w:p>
      <w:r>
        <w:t>IT: TF 4A 287/2015 del 22 luglio 2015</w:t>
      </w:r>
    </w:p>
    <w:p>
      <w:pPr>
        <w:pStyle w:val="Heading2"/>
      </w:pPr>
      <w:r>
        <w:t>Regeste</w:t>
      </w:r>
    </w:p>
    <w:p>
      <w:r>
        <w:t>mandat à forfait, inexécution du mandat; | Droit des contrats</w:t>
      </w:r>
    </w:p>
    <w:p>
      <w:pPr>
        <w:pStyle w:val="Heading2"/>
      </w:pPr>
      <w:r>
        <w:t>Erwägungen</w:t>
      </w:r>
    </w:p>
    <w:p>
      <w:r>
        <w:rPr>
          <w:b/>
        </w:rPr>
        <w:t>E. 1</w:t>
      </w:r>
    </w:p>
    <w:p>
      <w:r>
        <w:t>Interjeté en temps utile ( art. 100 al. 1 LTF ) contre une décision finale ( art. 90 LTF ), prise sur appel par le tribunal supérieur du canton de Genève ( art. 75 LTF ), dans une affaire civile ( art. 72 al. 1 LTF ) dont la valeur litigieuse est supérieure à 30'000 fr. ( art. 74 al. 1 let. b LTF ), le recours en matière civile est recevable au regard de ces dispositions.</w:t>
      </w:r>
    </w:p>
    <w:p>
      <w:r>
        <w:rPr>
          <w:b/>
        </w:rPr>
        <w:t>E. 2</w:t>
      </w:r>
    </w:p>
    <w:p>
      <w:r>
        <w:t>Il n'est pas contesté que le présent litige ressortit au droit suisse ( art. 116 al. 1 et 2 LDIP ), plus particulièrement au droit du mandat des art. 394 ss CO .</w:t>
      </w:r>
    </w:p>
    <w:p>
      <w:r>
        <w:rPr>
          <w:b/>
        </w:rPr>
        <w:t>E. 2.1</w:t>
      </w:r>
    </w:p>
    <w:p>
      <w:r>
        <w:t>Aux termes de l' art. 394 al. 3 CO , une rémunération est due au mandataire si la convention ou l'usage lui en assure une. La rémunération du mandataire peut en particulier être fixée forfaitairement (Walter Fellmann, Berner Kommentar, 1992, n° 441 ad art. 394 CO ; Tercier/Favre, Les contrats spéciaux, 4e éd. 2009, ch. 5260 p. 789). Examinant les conséquences, sur le droit à la rémunération du mandataire, de l'exécution défectueuse ou de l'inexécution totale du mandat, le Tribunal fédéral a posé les principes suivants: en cas d'exécution défectueuse du mandat, le mandataire a droit à des honoraires pour l'activité qu'il a exercée en conformité avec le contrat; dans le cas où l'exécution défectueuse du mandat est assimilable à une totale inexécution, se révélant inutile ou inutilisable, le mandataire peut perdre son droit à la rémunération ( ATF 124 III 423 consid. 4a). A cette occasion, il a rappelé le principe généralement admis en jurisprudence selon lequel la rémunération due au mandataire représente une contre-prestation pour les services qu'il rend au mandant, plus précisément pour l'activité diligente qu'il exerce dans l'affaire dont il est chargé, de sorte que le mandataire qui ne rend pas les services promis, c'est-à-dire qui demeure inactif ou n'agit pas avec le soin requis, ne peut prétendre à l'entier des honoraires convenus ou à la même rémunération qui serait équitablement due à un mandataire diligent ( ATF 124 III 423 consid. 3b). En d'autres termes, même lorsque les honoraires ont été fixés de manière forfaitaire, le mandataire ne peut prétendre à des honoraires que s'il a exécuté correctement sa prestation, ce qu'il lui incombe de démontrer ( art. 8 CC ; Fellmann, op. cit., n° 488 ad art. 394 CO ).</w:t>
      </w:r>
    </w:p>
    <w:p>
      <w:r>
        <w:rPr>
          <w:b/>
        </w:rPr>
        <w:t>E. 2.2</w:t>
      </w:r>
    </w:p>
    <w:p>
      <w:r>
        <w:t>Le recourant ne remet pas en cause ces principes. Dans son grief de violation du droit fédéral, il recopie textuellement les considérants de droit de l'arrêt cantonal, qui rappellent notamment les principes sus-exposés. Il ne reproche à la cour cantonale aucune mauvaise interprétation de l' art. 394 CO . En tant qu'il soutient qu'elle aurait mal appliqué cette disposition, sa critique est infondée car elle repose sur un état de fait modifié, qui présuppose l'admission de son grief d'appréciation arbitraire des preuves, lequel sera examiné ci-après.</w:t>
      </w:r>
    </w:p>
    <w:p>
      <w:r>
        <w:rPr>
          <w:b/>
        </w:rPr>
        <w:t>E. 3</w:t>
      </w:r>
    </w:p>
    <w:p>
      <w:r>
        <w:t>Le recourant soutient que la cour cantonale a apprécié arbitrairement les preuves, en écartant sans raison objective les quatre notes d'honoraires qu'il avait envoyées à son mandant.</w:t>
      </w:r>
    </w:p>
    <w:p>
      <w:r>
        <w:rPr>
          <w:b/>
        </w:rPr>
        <w:t>E. 3.1</w:t>
      </w:r>
    </w:p>
    <w:p>
      <w:r>
        <w:t>Selon la jurisprudence, une facture ne peut pas être tenue pour tacitement acceptée parce que son destinataire s'abstient de la contester durant quelques mois. Assimiler une facture à une lettre de confirmation entre commerçants, nécessitant une réaction en cas de désaccord, procéderait d'une interprétation trop extensive de l' art. 6 CO . Il serait contraire à l'expérience générale de la vie de présumer que le destinataire d'une facture soit disposé à en payer le montant. Celui qui reçoit une facture quelconque ne saurait être astreint à protester sans délai dès réception. L' art. 6 CO n'est pas pertinent en pareil cas; le silence gardé à réception d'un relevé de compte ou d'une facture inexacte ou mal fondée ne vaut donc pas acceptation (à propos d'une facture d'entrepreneur, cf. ATF 112 II 500 c. 3b et 88 II 81 consid. 3c; à propos de la mise à disposition d'un objet (bail), cf. arrêt 4A_691/2014 du 1er avril 2015 consid. 5).</w:t>
      </w:r>
    </w:p>
    <w:p>
      <w:r>
        <w:rPr>
          <w:b/>
        </w:rPr>
        <w:t>E. 3.2</w:t>
      </w:r>
    </w:p>
    <w:p>
      <w:r>
        <w:t>Appliquant ces principes, la cour cantonale a jugé que le fait que le mandant n'ait pas contesté ces quatre notes d'honoraires jusqu'à l'introduction de la présente procédure ne suffit pas à prouver leur bien-fondé.</w:t>
      </w:r>
    </w:p>
    <w:p>
      <w:r>
        <w:rPr>
          <w:b/>
        </w:rPr>
        <w:t>E. 3.3</w:t>
      </w:r>
    </w:p>
    <w:p>
      <w:r>
        <w:t>En tant qu'il soutient qu'il n'existe aucune raison objective d'écarter cette preuve, qu'il est d'usage de ne pas mettre en doute les déclarations des avocats concernant les rapports avec leurs clients, que la cour ne pouvait nier leur valeur probante, qu'il a accompli des actes d'administration pour la société de son mandant et s'est rendu à Paris au mois de février 2008, le recourant se trompe de cible. Il ne s'agit pas là d'un problème d'appréciation des preuves, puisque c'est en vertu du droit fédéral que le silence gardé à réception d'une facture ne vaut pas acceptation.</w:t>
      </w:r>
    </w:p>
    <w:p>
      <w:r>
        <w:rPr>
          <w:b/>
        </w:rPr>
        <w:t>E. 4</w:t>
      </w:r>
    </w:p>
    <w:p>
      <w:r>
        <w:t>Le recourant prétend encore que la cour cantonale aurait apprécié arbitrairement les preuves lorsqu'elle a retenu qu'il n'aurait pas apporté la preuve de la réalité de son activité entre le 1er novembre 2007 et le 31 décembre 2008.</w:t>
      </w:r>
    </w:p>
    <w:p>
      <w:r>
        <w:rPr>
          <w:b/>
        </w:rPr>
        <w:t>E. 4.1</w:t>
      </w:r>
    </w:p>
    <w:p>
      <w:r>
        <w:t>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140 III 16 consid.2.1 p. 18 s.; 138 III 378 consid. 6.1 p. 379 s.). De jurisprudence constante, le Tribunal fédéral se montre réservé en matière de constatation des faits et d'appréciation des preuves, vu le large pouvoir qu'il reconnaît en la matière aux autorités cantonales ( ATF 120 Ia 31 consid. 4b p. 40; 104 Ia 381 consid. 9 p. 399 et les arrêts cités). Dans ce domaine,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265; 137 III 226 consid. 4.2 p. 234).</w:t>
      </w:r>
    </w:p>
    <w:p>
      <w:r>
        <w:rPr>
          <w:b/>
        </w:rPr>
        <w:t>E. 4.2</w:t>
      </w:r>
    </w:p>
    <w:p>
      <w:r>
        <w:t>La cour cantonale a tout d'abord refusé les nouveaux moyens de preuve que le mandataire entendait faire administrer en appel pour prouver qu'il avait exercé une activité postérieurement au 1er novembre 2007, soit quatre nouveaux témoins et la réaudition des deux témoins déjà entendus en première instance, au motif qu'ils ne portent pas sur des faits nouveaux et sont, partant, irrecevables ( art. 317 al. 1 CPC ). Puis, examinant les moyens de preuve recevables, la cour cantonale a considéré qu'en dépit du fait que le mandat est défini largement et que les honoraires sont dus indépendamment de l'étendue de l'activité, le demandeur n'a pas droit à des honoraires car il n'a pas apporté la preuve de la réalité de son activité après le 31 octobre 2007, ni par les courriels produits, ni par des pièces, ni par les témoignages des deux témoins C.________ et D.________. Or, même si les relations entre les parties se déroulaient essentiellement par oral, le mandataire aurait vraisemblablement dû disposer de documents écrits résultant de l'activité qu'il aurait développée pour le compte du mandant et qu'il aurait adressés ou reçus de tiers en relation, par exemple, avec la création de la société immobilière, étant relevé qu'il est peu probable qu'une telle transaction se soit déroulée exclusivement par oral. Quant aux deux témoins, ils n'ont pas attesté de l'exercice d'une activité du mandataire durant la période litigieuse. Ainsi, la cour a estimé que le souvenir de D.________ d'une réunion qui se serait tenue en juin 2008 n'est pas suffisamment consistant puisque le témoin a d'abord affirmé que l'affaire avait eu lieu en 2007 ou 2008, que le mandant affirme pour sa part que cette réunion s'est tenue en 2007 et que l'impartialité de ce témoin est de toute manière sujette à caution dès l'instant où il s'est disputé avec le mandant.</w:t>
      </w:r>
    </w:p>
    <w:p>
      <w:r>
        <w:rPr>
          <w:b/>
        </w:rPr>
        <w:t>E. 4.3</w:t>
      </w:r>
    </w:p>
    <w:p>
      <w:r>
        <w:t>On ne saurait considérer que la cour cantonale a commis arbitraire en exigeant, pour se convaincre de la réalité d'une activité de conseiller financier exercée par le demandeur, que des pièces attestant directement de l'activité déployée soient produites, et non seulement des courriels dont le lecteur devrait imaginer les activités sous-jacentes. Si la " rédaction " et " l'envoi" de ces courriels sont la preuve de contacts entre les parties, ils ne le sont pas de l'activité de gestionnaire effectivement déployée. Le recourant ne prétend pas disposer, ni avoir produit, un quelconque relevé d'activité ( time sheet ) ou d'autres documents découlant de son activité. Il ne s'en prend pas non plus à l'argumentation de la cour cantonale selon laquelle de tels documents devraient exister si une activité avait été déployée. Quant à sa critique de l'appréciation du témoignage de D.________, elle n'apporte aucune démonstration d'une activité effective. En tant que le recourant soutient que le témoin a été exhorté à dire la vérité, que le témoin aurait attesté que le mandataire aurait rencontré son mandant à plusieurs reprises dans le courant de l'année 2008, en particulier en juin 2008 en relation avec une opération immobilière, il ne s'en prend pas aux motifs de la cour cantonale, mais se limite à proposer, de manière appellatoire, sa propre appréciation des faits, ce qui est inadmissible. Lorsque le recourant fait valoir que son mandat n'ayant pas été résilié, il devait par nature le poursuivre, il ne démontre pas l'avoir fait effectivement. Lorsqu'il soutient, en se référant à quatre courriels des 18 juillet, 10 août, 14 août et 25 septembre 2007, que tous les dossiers entamés en 2007 étaient, selon le cours ordinaire des choses, encore en traitements par la suite, que le traitement desdits dossiers devaient se poursuivre sur plusieurs mois, voire même des années, que la Cour de justice aurait dû prendre de la hauteur et en déduire que son mandat de gestion du portefeuille d'investissement et des questions d'ordre fiscal nécessitait des actions qui s'inscrivaient dans la durée (surveillance et gestion des investissements) et donc que la date des courriels n'est pas déterminante, le recourant se borne à nouveau à proposer sa propre appréciation des faits, sans démontrer l'arbitraire de l'appréciation de la cour cantonale, laquelle, il sied de le rappeler, a exigé des documents résultant de l'activité déployée. Quand le recourant plaide qu'il y aurait là violation de son droit d'être entendu, il confond cette notion avec celle d'arbitraire. En ce qui concerne la procuration de l'ordre des avocats, que le mandant a signée le 18 octobre 2007, si elle atteste certes que le mandat était destiné à se poursuivre, elle ne démontre pas, comme la cour cantonale l'a retenu sans arbitraire, que le mandataire a développé une quelconque activité durant la période litigieuse. En tant que le recourant allègue enfin que c'est en conjonction avec les autres éléments de fait que les courriels de 2007 et la procuration du 18 octobre 2007 auraient dû être appréciés, que, certes, envisagé isolément, chacun desdits éléments ne permet pas d'affirmer que la Cour de justice a constaté les faits de manière manifestement inexacte, mais que leur appréciation globale aurait dû conduire cette juridiction à admettre qu'il avait continué à exécuter son mandat, il ne démontre nullement l'arbitraire de l'appréciation de la cour cantonale. Comme on l'a vu, il n'est en effet pas insoutenable d'exiger, pour se convaincre de la réalité d'une activité durant la période litigieuse, que le demandeur produise des documents résultant directement de cette activité (p. ex. time sheet ).</w:t>
      </w:r>
    </w:p>
    <w:p>
      <w:r>
        <w:rPr>
          <w:b/>
        </w:rPr>
        <w:t>E. 5</w:t>
      </w:r>
    </w:p>
    <w:p>
      <w:r>
        <w:t>Il s'ensuit que le recours doit être rejeté dans la mesure où il est recevable, aux frais de son auteur ( art. 66 al. 1 LTF ). Le recourant sera condamné à verser une indemnité à l'intimé à titre de dépens ( art. 68 al. 1 LTF ). Le prononcé du présent arrêt sur le fond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