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4A_286/2024 vom 16. Mai 2024</w:t>
      </w:r>
    </w:p>
    <w:p>
      <w:r>
        <w:t>Bundesgericht, 2024-05-16, DE</w:t>
      </w:r>
    </w:p>
    <w:p>
      <w:r>
        <w:rPr>
          <w:b/>
        </w:rPr>
        <w:t xml:space="preserve">Quelle: </w:t>
      </w:r>
      <w:r>
        <w:t>https://mcp.opencaselaw.ch/entscheid/bger_4A_286_2024</w:t>
      </w:r>
    </w:p>
    <w:p>
      <w:r>
        <w:t>FR: TF 4A_286/2024 du 16 mai 2024</w:t>
      </w:r>
    </w:p>
    <w:p>
      <w:r>
        <w:t>IT: TF 4A_286/2024 del 16 maggio 2024</w:t>
      </w:r>
    </w:p>
    <w:p>
      <w:pPr>
        <w:pStyle w:val="Heading2"/>
      </w:pPr>
      <w:r>
        <w:t>Erwägungen</w:t>
      </w:r>
    </w:p>
    <w:p>
      <w:r>
        <w:rPr>
          <w:b/>
        </w:rPr>
        <w:t>E. 1</w:t>
      </w:r>
    </w:p>
    <w:p>
      <w:r>
        <w:t>Mit Eingabe vom 21. April 2023 leitete der Beschwerdeführer nach eigenen Angaben beim Sozialversicherungsgericht des Kantons Zürich eine Klage betreffend Zahlung von Taggeldern gegen die Beschwerdegegnerin 2 ein.</w:t>
      </w:r>
    </w:p>
    <w:p>
      <w:r>
        <w:t>Am 15. Januar 2024 fand eine Instruktionsverhandlung statt.</w:t>
      </w:r>
    </w:p>
    <w:p>
      <w:r>
        <w:t>Mit Eingabe vom 6. Mai 2024 erhob der Beschwerdeführer beim Bundesgericht eine Rechtsverzögerungsbeschwerde betreffend das vor dem Sozialversicherungsgericht des Kantons Zürich hängige Verfahren.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Die Beschwerde ist hinreichend zu begründen, ansonsten darauf nicht eingetreten werden kann.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w:t>
      </w:r>
    </w:p>
    <w:p>
      <w:r>
        <w:rPr>
          <w:b/>
        </w:rPr>
        <w:t>E. 2.2</w:t>
      </w:r>
    </w:p>
    <w:p>
      <w:r>
        <w:t>Der Anspruch auf Beurteilung innert angemessener Frist wird missachtet, wenn eine Sache über Gebühr verschleppt wird und die Dauer des gesamten Verfahrens nicht mehr angemessen ist ( BGE 144 II 486 E. 3.2 ; 135 I 265 E. 4.4 ; 130 I 312 E. 5.1). Inwiefern diese Voraussetzungen für die Annahme einer unzulässigen Verzögerung des Verfahrens im vorliegenden Fall erfüllt sein sollen, legt der Beschwerdeführer nicht konkret dar. Die Beschwerde ist offensichtlich nicht hinreichend begründet (vgl. zu den entsprechenden Begründungsanforderungen BGE 143 III 416 E. 1.4; 138 III 190 E. 6).</w:t>
      </w:r>
    </w:p>
    <w:p>
      <w:r>
        <w:t>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sinngemäss gestellte Gesuch um Befreiung von diesen Kosten im bundesgerichtlichen Verfahren gegenstandslos wird. Den Beschwerdegegnern steht keine Parteientschädigung zu ( Art. 68 Abs. 2 und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