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4A_286/2015 vom 7. Dezember 2015</w:t>
      </w:r>
    </w:p>
    <w:p>
      <w:r>
        <w:t>Bundesgericht, 2015-12-07, FR</w:t>
      </w:r>
    </w:p>
    <w:p>
      <w:r>
        <w:rPr>
          <w:b/>
        </w:rPr>
        <w:t xml:space="preserve">Quelle: </w:t>
      </w:r>
      <w:r>
        <w:t>https://mcp.opencaselaw.ch/entscheid/bger_4A_286_2015</w:t>
      </w:r>
    </w:p>
    <w:p>
      <w:r>
        <w:t>FR: TF 4A_286/2015 du 7 décembre 2015</w:t>
      </w:r>
    </w:p>
    <w:p>
      <w:r>
        <w:t>IT: TF 4A_286/2015 del 7 dicembre 2015</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cf. ATF 137 III 389 consid. 1.1 p. 390; 136 III 196 consid. 196 consid. 1.1 p. 197). Au surplus, le recours est exercé par la partie qui a succombé dans sa conclusion tendant à faire constater la validité du congé anticipé et qui a donc qualité pour recourir ( art. 76 al. 1 LTF ). Déposé dans le délai ( art. 100 al. 1 LTF ) et la forme ( art. 42 LTF ) prévus par la loi, le recours est en principe recevable, sous réserve de l'examen des griefs particuliers.</w:t>
      </w:r>
    </w:p>
    <w:p>
      <w:r>
        <w:rPr>
          <w:b/>
        </w:rPr>
        <w:t>E. 2</w:t>
      </w:r>
    </w:p>
    <w:p>
      <w:r>
        <w:t>Sous le grief d'établissement inexact des faits ( art. 97 LTF ), la recourante reproche à la cour cantonale de ne pas avoir repris intégralement dans son arrêt les témoignages du courtier D.________ et de F.________, employée au service de courtage de la régie. La recourante se borne à affirmer, de manière toute générale, que ces déclarations sont d'une importance primordiale pour juger de la cause. Plus loin dans son mémoire, elle évoque spécifiquement deux éléments ressortant desdits témoignages, qui n'auraient pas été retenus de manière arbitraire dans la décision entreprise: le fait que le courtier D.________ a laissé un message sur le téléphone portable de l'intimée et l'impossibilité pour la régie de faire visiter l'appartement à des acheteurs potentiels avant d'expertiser l'appartement.</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Si l'auteur du recours se plaint d'un tel grief,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137 I 58 consid. 4.1.2 p. 62; 134 II 244 consid. 2.2 p. 246; 133 II 249 consid. 1.4.3 p. 254 s.).</w:t>
      </w:r>
    </w:p>
    <w:p>
      <w:r>
        <w:rPr>
          <w:b/>
        </w:rPr>
        <w:t>E. 2.2</w:t>
      </w:r>
    </w:p>
    <w:p>
      <w:r>
        <w:t>Dans la mesure où elle se contente de prétendre que les deux témoignages invoqués auraient dû être repris tels quels dans l'arrêt cantonal, la recourante formule un grief irrecevable, faute d'une motivation correspondant aux exigences en la matière.</w:t>
      </w:r>
    </w:p>
    <w:p>
      <w:r>
        <w:t>En ce qui concerne le premier des deux faits que la cour cantonale n'aurait pas retenus de manière arbitraire, il résulte bien des constatations de l'arrêt attaqué que les locataires ont eu vent par le courtier D.________ d'un projet de deuxième vente de l'appartement loué. On ne voit dès lors pas en quoi le fait que ledit courtier ait laissé un message sur le répondeur de l'intimée apporterait un élément supplémentaire, de quelque façon pertinent pour l'issue de la cause. En tout cas, la recourante ne l'explique pas de manière circonstanciée, de sorte que le grief est irrecevable faute de motivation adéquate.</w:t>
      </w:r>
    </w:p>
    <w:p>
      <w:r>
        <w:t>Pour la même raison, le grief tiré d'un établissement inexact des faits est irrecevable sur le second point. En effet, la recourante se limite à prétendre, sans explication, que la cour cantonale a ignoré arbitrairement le témoignage F.________ selon lequel la régie ne pouvait faire visiter l'appartement à d'éventuels acheteurs dès lors qu'elle n'avait pu le voir pour expertise.</w:t>
      </w:r>
    </w:p>
    <w:p>
      <w:r>
        <w:rPr>
          <w:b/>
        </w:rPr>
        <w:t>E. 3</w:t>
      </w:r>
    </w:p>
    <w:p>
      <w:r>
        <w:t>La recourante se plaint d'une violation de l'art. 257f al. 3 et de l' art. 257h al. 2 CO . A titre liminaire, elle critique un avis de doctrine cité dans la décision attaquée, selon lequel l'inspection de l'objet loué en vue d'une vente suppose une résiliation préalable du bail. Par ailleurs, elle soutient que la cour cantonale a pris en compte des critères étrangers à l' art. 257h al. 2 CO . A son sens, le droit à une inspection de l'objet loué en vue d'une vente suppose uniquement une intention réelle de vendre et des démarches concrètes dans ce sens. Or, ces conditions seraient réalisées en l'espèce, dès lors que les locataires connaissaient la volonté de revendre de la propriétaire et que la visite souhaitée, destinée à expertiser l'appartement, constituait une démarche concrète et justifiée en vue de la vente. Selon la recourante, les intimés étaient donc tenus de tolérer l'inspection par la régie et ont violé leur devoir de diligence en ne donnant pas suite aux nombreuses demandes de contact des courtiers.</w:t>
      </w:r>
    </w:p>
    <w:p>
      <w:r>
        <w:t>Au surplus, la recourante fait valoir que la résiliation du bail était nécessaire afin de pouvoir procéder à la vente de l'appartement. Contrairement à ce que la cour cantonale a admis dans une motivation subsidiaire, le refus persistant des locataires de laisser visiter l'appartement constituerait ainsi une violation du contrat d'une gravité telle qu'elle rendait la poursuite du bail insupportable pour la recourante.</w:t>
      </w:r>
    </w:p>
    <w:p>
      <w:r>
        <w:rPr>
          <w:b/>
        </w:rPr>
        <w:t>E. 3.1</w:t>
      </w:r>
    </w:p>
    <w:p>
      <w:r>
        <w:t>L' art. 257f al. 3 CO confère au bailleur le droit de résilier le bail de manière anticipée lorsque le maintien du contrat lui est devenu insupportable parce que le locataire, nonobstant une protestation écrite, persiste à enfreindre son devoir de diligence; les baux d'habitation peuvent être résiliés moyennant un délai de congé minimum de 30 jours pour la fin d'un mois.</w:t>
      </w:r>
    </w:p>
    <w:p>
      <w:r>
        <w:t>La résiliation fondée sur l' art. 257f al. 3 CO suppose tout d'abord, de la part du locataire, une violation du devoir de diligence en rapport avec l'usage de la chose louée ( ATF 132 III 109 consid. 5 p. 113 s.; 123 III 124 consid. 2a p. 126). Cette violation peut consister dans le refus de procéder aux opérations préalables à des réparations que le locataire doit tolérer conformément à l' art. 257h al. 1 CO (arrêt 4C.306/2003 du 20 février 2004 consid. 3.3 in SJ 2004 I 439) ou dans le refus d'autoriser l'inspection de la chose louée dans les cas prévus à l' art. 257h al. 2 CO (ROGER WEBER, in Basler Kommentar, Obligationenrecht I, 6</w:t>
      </w:r>
    </w:p>
    <w:p>
      <w:r>
        <w:t>e éd. 2015, n° 5 ad art. 257h CO ; DAVID LACHAT, in Commentaire romand, Code des obligations I, 2e éd. 2012, n° 7 ad art. 257h CO ; PETER R. BURKHALTER/EMMANUELLE MARTINEZ-FAVRE, Le droit suisse du bail à loyer, 2011, adaptation française de la 3e éd. du SVIT Kommentar de RAYMOND BISANG ET AL., n. 59b ad art. 257f CO p. 166, n. 22 ad art. 257h CO p. 180; PIERRE WESSNER, in Droit du bail à loyer - Commentaire pratique, Bohnet/Montini éd., 2010, n. 28 ad art. 257f CO p. 269; CAROLE AUBERT, in Droit du bail à loyer - Commentaire pratique, Bohnet/Montini éd., 2010, n. 16 ad art. 257h CO p. 291; PETER HIGI, Zürcher Kommentar, 4e éd. 1995, n° 43 ad art. 257h CO ). Aux termes de l' art. 257h al. 2 CO , le locataire doit autoriser le bailleur à inspecter la chose dans la mesure où cet examen est nécessaire à l'entretien, à la vente ou à une location ultérieure. Lorsque la demande de visite est justifiée par une vente, le bailleur doit avoir entrepris des démarches concrètes en vue d'aliéner son bien (WEBER, op. cit., n° 3 ad art. 257h CO ; LACHAT, op. cit., n° 4 ad art. 257h CO ; AUBERT, op. cit., n. 14 ad art. 257h CO p. 290; HIGI, op. cit., n° 37 ad art. 257h CO ); en revanche, il ne doit pas avoir résilié le bail (à durée indéterminée) (une telle condition, posée dans l'adaptation française du SVIT Kommentar [BURKHALTER/MARTINEZ-FAVRE, op. cit., n. 20 ad art. 257h CO ], ne figure du reste pas dans la version originale en allemand [RAYMOND BISANG ET AL., SVIT Kommentar, 3e éd. 2008, n. 20 ad art. 257h CO ]).</w:t>
      </w:r>
    </w:p>
    <w:p>
      <w:r>
        <w:t>Pour justifier une résiliation anticipée fondée sur l' art. 257f al. 3 CO , la violation par le locataire de son devoir de diligence doit en outre être persistante et rendre insupportable le maintien du contrat pour le bailleur, ce qui suppose un manquement d'une certaine gravité. Le juge apprécie librement, selon les règles du droit et de l'équité ( art. 4 CC ), si la résiliation anticipée répond à un motif suffisamment grave. Il se prononcera en fonction de l'ensemble des circonstances concrètes du cas particulier ( ATF 132 III 109 consid. 2 p. 111; arrêt précité du 20 février 2004 consid. 3.5).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3.2</w:t>
      </w:r>
    </w:p>
    <w:p>
      <w:r>
        <w:t>En l'espèce, les locataires se sont déclarés d'accord, dans leur lettre du 15 juin 2012, avec le principe des visites, tout en souhaitant connaître leur nombre et leur programmation. Avant et après ce courrier, ils n'ont toutefois pas donné suite aux demandes de prise de contact des courtiers.</w:t>
      </w:r>
    </w:p>
    <w:p>
      <w:r>
        <w:t>Dans un premier temps, lorsque le courtier D.________ cherche à obtenir un rendez-vous de la part des locataires, l'absence de réaction de ceux-ci n'apparaît pas comme une violation du devoir de diligence. En effet, la seule évocation d'un projet de revente par le courtier mandaté par le propriétaire précédent, juste après la première vente, ne suffit pas pour établir et opposer aux locataires une intention concrète dans ce sens de la part de la bailleresse. Et il ne ressort pas des constatations de la cour cantonale que la bailleresse elle-même ait alors fait part clairement aux intimés, directement ou par l'intermédiaire de la gérance, de sa volonté réelle de revendre rapidement le bien qu'elle venait d'acquérir. En particulier, les premiers courriers de la régie, laquelle assure à la fois la gérance et le courtage, se limitent à rappeler la teneur de l' art. 257h al. 2 CO , qui ne concerne pas exclusivement le droit d'inspection en vue d'une vente, mais également les visites nécessaires dans le cadre de l'entretien.</w:t>
      </w:r>
    </w:p>
    <w:p>
      <w:r>
        <w:t>C'est dans sa lettre du 5 juillet 2012 que la régie exprime pour la première fois précisément le but de la requête d'inspection: il s'agit d'expertiser le bien que la nouvelle propriétaire envisage de remettre en vente, mais qui n'est pas encore commercialisé; la régie demande aux locataires de la contacter afin de fixer un rendez-vous. Les intimés n'en font rien et la régie les relance un mois et demi plus tard en leur fixant un délai de quinze jours pour se manifester. Les locataires ne réagissent pas.</w:t>
      </w:r>
    </w:p>
    <w:p>
      <w:r>
        <w:t>Si l'on admet qu'une visite à fin d'expertise constitue une étape nécessaire en vue d'une vente suivant de quelques mois l'acquisition du bien, force est alors de reconnaître qu'en ne réagissant pas aux demandes de prise de contact de la régie, les locataires ont méconnu leur obligation de tolérer l'inspection de la chose louée. Cependant, un tel manquement n'apparaît pas, dans les circonstances de l'espèce, suffisamment grave pour justifier une résiliation anticipée du bail. En particulier, l'inertie des locataires durant l'été 2012, attribuée par eux à des difficultés personnelles, relève plus de la négligence que d'un refus caractérisé de laisser la bailleresse ou sa représentante exercer le droit d'inspection garanti par l' art. 257h al. 2 CO . Du reste, les intimés n'avaient créé aucune difficulté pour faire visiter l'appartement à plusieurs reprises avant la vente conclue quelques mois plus tôt. En jugeant, dans sa motivation subsidiaire, que la poursuite du bail n'était pas insupportable pour la recourante au regard de l'ensemble des éléments du cas présent, la cour cantonale n'a pas abusé du pouvoir d'appréciation qui lui est reconnu en la matière.</w:t>
      </w:r>
    </w:p>
    <w:p>
      <w:r>
        <w:t>Le grief tiré de la violation de l'art. 257f al. 3 et de l' art. 257h al. 2 CO se révèle mal fondé, de sorte que les juges genevois n'ont pas méconnu le droit fédéral en constatant l'inefficacité du congé anticipé notifié par la bailleresse.</w:t>
      </w:r>
    </w:p>
    <w:p>
      <w:r>
        <w:rPr>
          <w:b/>
        </w:rPr>
        <w:t>E. 4</w:t>
      </w:r>
    </w:p>
    <w:p>
      <w:r>
        <w:t>Sur le vu de ce qui précède, le recours sera rejeté dans la mesure où il est recevable.</w:t>
      </w:r>
    </w:p>
    <w:p>
      <w:r>
        <w:t>La recourante, qui succombe, prendra à sa charge les frais judiciaires ( art. 66 al. 1 LTF ). En revanche, elle n'aura pas à verser des dépens aux intimés, qui ne sont pas représentés par un avocat (cf. art. 68 al. 2 LTF et art. 1 du règlement sur les dépens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