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4A_285/2017 vom 3. April 2018</w:t>
      </w:r>
    </w:p>
    <w:p>
      <w:r>
        <w:t>Bundesgericht, 2018-04-03, FR</w:t>
      </w:r>
    </w:p>
    <w:p>
      <w:r>
        <w:rPr>
          <w:b/>
        </w:rPr>
        <w:t xml:space="preserve">Quelle: </w:t>
      </w:r>
      <w:r>
        <w:t>https://mcp.opencaselaw.ch/entscheid/bger_4A_285_2017</w:t>
      </w:r>
    </w:p>
    <w:p>
      <w:r>
        <w:t>FR: TF 4A_285/2017 du 3 avril 2018</w:t>
      </w:r>
    </w:p>
    <w:p>
      <w:r>
        <w:t>IT: TF 4A_285/2017 del 3 aprile 2018</w:t>
      </w:r>
    </w:p>
    <w:p>
      <w:pPr>
        <w:pStyle w:val="Heading2"/>
      </w:pPr>
      <w:r>
        <w:t>Erwägungen</w:t>
      </w:r>
    </w:p>
    <w:p>
      <w:r>
        <w:rPr>
          <w:b/>
        </w:rPr>
        <w:t>E. 1</w:t>
      </w:r>
    </w:p>
    <w:p>
      <w:r>
        <w:t>Interjeté en temps utile ( art. 100 al. 1 LTF ), l'arrêt attaqué ayant été notifié le 18 avril 2017, soit pendant les féries de Pâques (art. 44 al. 1 et 46 al. 1 LTF; ATF 132 II 153 consid. 4.2), par le défendeur qui a succombé partiellement dans ses conclusions libératoires ( art. 76 al. 1 LTF ), contre un arrêt final ( art. 90 LTF ) rendu sur appel par le tribunal supérieur du canton de Genève ( art. 75 LTF ), dans une affaire civile en matière de responsabilité délictuelle ( art. 72 al. 1 LTF ), dont la valeur litigieuse excède 30'000 fr. ( art. 74 al. 1 let. b LTF ), le recours en matière civile est en principe recevable.</w:t>
      </w:r>
    </w:p>
    <w:p>
      <w:r>
        <w:t>Le recours constitutionnel est par conséquent irrecevable.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Comme on l'a vu, le litige en relation avec les prêts accordés au défendeur personnellement est liquidé et est en force de chose jugée (cf. supra let. E.a).</w:t>
      </w:r>
    </w:p>
    <w:p>
      <w:r>
        <w:t>La responsabilité contractuelle de la société en relation avec les prêts qui lui ont été accordés n'est pas en cause, dès lors que l'action introduite par la banque est dirigée contre le seul défendeur et qu'elle est fondée sur sa responsabilité délictuelle. Le fait que la société puisse être, en concours, responsable délictuellement des actes du défendeur, qui est son auxiliaire (cf. ATF 108 II 419 consid. 5) n'exclut évidemment pas que celui-ci le soit également à titre personnel.</w:t>
      </w:r>
    </w:p>
    <w:p>
      <w:r>
        <w:t>Demeure donc seule litigieuse la responsabilité délictuelle du défendeur pour le dommage causé à la banque en relation avec les prêts accordés par son entremise à la société elle-même.</w:t>
      </w:r>
    </w:p>
    <w:p>
      <w:r>
        <w:rPr>
          <w:b/>
        </w:rPr>
        <w:t>E. 4</w:t>
      </w:r>
    </w:p>
    <w:p>
      <w:r>
        <w:t>Le litige revêt un caractère international en raison du domicile à l'étranger du défendeur. La compétence des tribunaux genevois fait en l'espèce l'objet d'un arrêt de la Cour de justice de Genève du 12 janvier 2012, lequel est en force de chose jugée. L'application du droit suisse n'est pas contestée, ni contestable, eu égard aux art. 132 et 133 al. 2 LDIP .</w:t>
      </w:r>
    </w:p>
    <w:p>
      <w:r>
        <w:rPr>
          <w:b/>
        </w:rPr>
        <w:t>E. 5</w:t>
      </w:r>
    </w:p>
    <w:p>
      <w:r>
        <w:t>La banque demanderesse a ouvert une action délictuelle contre le défendeur (peu importe à cet égard qu'il doive être qualifié de fondé de procuration ou de mandataire), basée sur l' art. 41 al. 1 CO , par laquelle elle veut obtenir de celui-ci la réparation d'un dommage purement économique, c'est-à-dire d'un préjudice apparu sans qu'il y ait eu atteinte à l'intégrité de sa personne ou endommagement, destruction ou perte d'une chose ( ATF 133 III 323 consid. 5.1; 118 II 176 consid. 4b).</w:t>
      </w:r>
    </w:p>
    <w:p>
      <w:r>
        <w:t>Le lésé qui ouvre action en dommages-intérêts en invoquant l' art. 41 al. 1 CO doit alléguer et prouver tous les faits constitutifs de cette norme de responsabilité, conformément à l' art. 8 CC : l'acte illicite, la faute, le dommage et le rapport de causalité naturelle et adéquateentre l'acte illicite et le dommage.</w:t>
      </w:r>
    </w:p>
    <w:p>
      <w:r>
        <w:rPr>
          <w:b/>
        </w:rPr>
        <w:t>E. 6</w:t>
      </w:r>
    </w:p>
    <w:p>
      <w:r>
        <w:t>En premier lieu, cette responsabilité aquilienne présuppose l'existence d'un acte illicite.</w:t>
      </w:r>
    </w:p>
    <w:p>
      <w:r>
        <w:rPr>
          <w:b/>
        </w:rPr>
        <w:t>E. 6.1</w:t>
      </w:r>
    </w:p>
    <w:p>
      <w:r>
        <w:t>Dans la conception objective de l'illicéité suivie par le Tribunal fédéral ( ATF 132 III 122 consid. 4.1 et les arrêts cités), on distingue l'illicéité de résultat (</w:t>
      </w:r>
    </w:p>
    <w:p>
      <w:r>
        <w:t>Erfolgsunrecht ), qui suppose l'atteinte à un droit absolu du lésé, de l'illicéité du comportement (</w:t>
      </w:r>
    </w:p>
    <w:p>
      <w:r>
        <w:t>Verhaltensunrecht ). Lorsqu'il est question, comme en l'espèce, d'un préjudice purement économique, celui-ci ne peut donner lieu à réparation, en vertu de l'illicéité déduite du comportement, que lorsque l'acte dommageable viole une norme de comportement (</w:t>
      </w:r>
    </w:p>
    <w:p>
      <w:r>
        <w:t>Schutznorm ) qui a pour finalité de protéger le lésé dans les droits atteints par l'acte incriminé ( ATF 133 III 323 consid. 5.1; 132 III 122 consid. 4.1; arrêt 4A_653/2010 du 24 juin 2011 consid. 3) et, en cas d'omission, si l'auteur avait une obligation juridique d'agir ( ATF 126 III 113 consid. 2a/aa</w:t>
      </w:r>
    </w:p>
    <w:p>
      <w:r>
        <w:t>in initio ; arrêt 4C.202/2002 du 30 octobre 2002 consid. 3.1); l'illicéité ne peut résulter que de la violation d'une norme protégeant le lésé contre un dommage du genre de celui qui est survenu, la création d'un état de choses dangereux ne suffisant pas ( ATF 124 III 297 consid. 5b</w:t>
      </w:r>
    </w:p>
    <w:p>
      <w:r>
        <w:t>in fine et les références, p. 301; arrêt 4C.202/2002 déjà cité consid. 3.1).</w:t>
      </w:r>
    </w:p>
    <w:p>
      <w:r>
        <w:t>De telles normes peuvent résulter de l'ensemble de l'ordre juridique suisse, qu'il s'agisse du droit privé, administratif ou pénal; peu importe qu'elles soient écrites on non écrites, de droit fédéral ou de droit cantonal ( ATF 133 III 323 consid. 5.1; 116 Ia 169 consid. 2c p. 169 et les références).</w:t>
      </w:r>
    </w:p>
    <w:p>
      <w:r>
        <w:t>L' art. 28 CO est une telle norme de comportement, découlant du droit privé. Selon la jurisprudence, le dol au sens de cette disposition constitue manifestement un acte illicite ( ATF 108 II 419 consid. 5 et les références citées; arrêts 4C.202/2002 déjà cité consid. 3.1; 4C.270/2003 du 28 novembre 2003 consid. 3.1; cf. ROLAND BREHM, Berner Kommentar, 4e éd. 2013, no 41a ad art. 41 CO ).</w:t>
      </w:r>
    </w:p>
    <w:p>
      <w:r>
        <w:t>Le dol est une tromperie intentionnelle de la victime par l'auteur. Il peut être commis aussi bien par une affirmation inexacte que par le silence relatif à un fait que l'auteur avait le devoir de révéler (cf. GAUCH/SCHLUEP/SCHMID/EMMENEGER, Schweizerisches Obligationen-recht, AT, 10e éd. 2014, n. 858 ss p. 195 ss).</w:t>
      </w:r>
    </w:p>
    <w:p>
      <w:r>
        <w:t>La notion même de dol, considérée au cours des pourparlers précédant la conclusion du contrat, est appréhendée, selon les circonstances, dans des perspectives différentes par la jurisprudence (cf. ATF 121 III 350 consid. 6c p. 354 s.). Ainsi, celui qui se tait sur des faits que la loyauté en affaires exigeait qu'il indiquât (obligation de renseigner) à l'autre partie déjà lors de pourparlers précédant la conclusion du contrat, avec pour effet que cette partie se trouve dans une erreur essentielle ( art. 24 al. 1 ch. 4 CO ), commet un dol (cf. ATF 113 II 25 consid. 1</w:t>
      </w:r>
    </w:p>
    <w:p>
      <w:r>
        <w:t>in fine p. 29). Agit également par dol, même en l'absence d'erreur essentielle de l'autre partie (art. 28 al. 1</w:t>
      </w:r>
    </w:p>
    <w:p>
      <w:r>
        <w:t>in fine CO), celui qui, de manière générale, dissimule des faits alors qu'il avait l'obligation juridique de renseigner celle-ci. Une obligation de renseigner existe dans le cadre de pourparlers contractuels car il existe un rapport de confiance qui oblige les parties à se renseigner l'une l'autre de bonne foi, dans une certaine mesure, sur les faits qui sont de nature à influer sur la décision de l'autre partie de conclure le contrat ou de le conclure à certaines conditions ( ATF 106 II 346 consid. 4a p. 351; 105 II 75 consid. 2a p. 80; arrêt 4C.202/2002 déjà cité consid. 3.1; sur les fondements d'une obligation de renseigner en général, cf. ATF 117 II 218 consid. 6a et l'arrêt cité p. 228; arrêt 4A_28/2007 du 30 mai 2007 consid. 2.2, non publié aux ATF 133 III 421 ).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p. 434; ATF 105 II 75 consid. 2a p. 80; arrêts 4C.202/2002 déjà cité consid. 3.1). Ainsi,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 ATF 121 III 350 consid. 6c p. 354; 105 II 75 consid. 2a p. 80; arrêt 4A_28/2007 déjà cité consid. 2.2).</w:t>
      </w:r>
    </w:p>
    <w:p>
      <w:r>
        <w:t>Il incombe à celui qui invoque un dol comme constituant un acte illicite et, partant, comme fondement d'une responsabilité délictuelle d'apporter la preuve qu'il y a eu tromperie et que celle-ci l'a déterminée à contracter (cf. ATF 129 III 320 consid. 6.3 p. 327; arrêt 4A_641/2010 du 23 février 2011 consid. 3.4.1 et les références citées).</w:t>
      </w:r>
    </w:p>
    <w:p>
      <w:r>
        <w:t>Savoir dans quelles circonstances se sont déroulés les pourparlers, respectivement la conclusion du contrat, et déterminer la volonté des parties et s'il y a eu comportement trompeur d'une partie relèvent du fait. Ces constatations lient le Tribunal fédéral ( art. 105 al. 1 LTF ), à moins que le recourant ne démontre qu'elles sont arbitraires (art. 97 al. 1, 106 al. 2 LTF et art. 9 Cst. ; ATF 126 II 171 consid. 4c/bb p. 182; 123 III 165 consid. 3a et les arrêts cités).</w:t>
      </w:r>
    </w:p>
    <w:p>
      <w:r>
        <w:rPr>
          <w:b/>
        </w:rPr>
        <w:t>E. 6.2</w:t>
      </w:r>
    </w:p>
    <w:p>
      <w:r>
        <w:t>En l'espèce, il résulte de l'appréciation des preuves et, par suite, des faits retenus par la cour cantonale que, durant le processus d'ouverture de la relation bancaire et de l'obtention des crédits en faveur de la société, puis, par la suite, lors de l'utilisation de ces crédits, le défendeur a sciemment induit la banque en erreur sur des points essentiels:</w:t>
      </w:r>
    </w:p>
    <w:p>
      <w:r>
        <w:t>- premièrement, il n'a pas informé la banque des problèmes juridiques et réglementaires, que la société rencontrait avec les autorités américaines et allemandes et dont il avait connaissance;</w:t>
      </w:r>
    </w:p>
    <w:p>
      <w:r>
        <w:t>- deuxièmement, alors qu'il ne pouvait ignorer - ses déclarations n'étant pas crédibles - que la valeur des titres remis en nantissement à la banque n'avaient pas de valeur ou une valeur très inférieure à celle ressortant des cotations officielles, étant donné qu'ils avaient été surcotés à la suite de manipulations frauduleuses de leurs cours, ce dont il avait connaissance, le défendeur n'a pas informé la banque de ces faits et lui a fait croire que la valeur des titres correspondait à leur cotation officielle selon deux agences de cotation;</w:t>
      </w:r>
    </w:p>
    <w:p>
      <w:r>
        <w:t>- troisièmement, il n'a pas informé la banque avant l'ouverture des crédits, ni au cours de la relation bancaire, qu'il allait utiliser plus de la moitié des crédits obtenus de 9'500'000 USD pour verser 5'013'500 USD à une société (B.________) dont il était l'ayant droit économique, information dont il ne pouvait ignorer que la banque l'aurait jugée suspecte.</w:t>
      </w:r>
    </w:p>
    <w:p>
      <w:r>
        <w:t>Le recourant ne s'en prend pas vraiment à ces constatations de fait. Il s'y réfère de manière éparse et de manière peu compréhensible dans son recours, mélangeant le fait et le droit, et sans aucune démonstration de l'arbitraire telle que l'exige l' art. 106 al. 2 LTF .</w:t>
      </w:r>
    </w:p>
    <w:p>
      <w:r>
        <w:t>Ainsi, il invoque dans son exposé " en fait ", de manière peu claire, que les titres qu'il a remis en nantissement à la banque n'était pas sans valeur puisqu'ils valaient selon son tableau 29'112'296,2 (sans que l'on sache s'il s'agit de dollars ou d'euros). Or, on est bien loin de la valeur de 248 millions d'USD indiquée sur la base des cours de deux agences de cotation. On ne voit par ailleurs pas en quoi il y aurait violation du droit de procédure genevois ( art. 126 LPC /GE) et du droit à la preuve et du fardeau de la preuve ( art. 8 CC ).</w:t>
      </w:r>
    </w:p>
    <w:p>
      <w:r>
        <w:t>S'agissant des problèmes juridiques et réglementaires que la société rencontrait avec certaines autorités, le recourant soutient qu'il a déclaré lors de son audition que le niveau d'information de la banque était le même que le sien propre. Ce faisant, il se borne à une simple affirmation appellatoire, sans démontrer en quoi la cour cantonale aurait commis l'arbitraire en retenant qu'il connaissait ces problèmes. Le fait que la banque lui ait posé ou non des questions à ce sujet n'est juridiquement pas décisif, vu son obligation de renseigner.</w:t>
      </w:r>
    </w:p>
    <w:p>
      <w:r>
        <w:t>Lorsqu'il soutient, admettant avoir fait des déclarations un peu floues, qu'il n'a pas été établi à qui appartenait B.________, il méconnaît que la cour cantonale a retenu qu'il en était l'ayant droit économique. On peine d'ailleurs à le comprendre lorsqu'il soutient ensuite qu'il est habituel pour des consultants - comme lui - de se faire payer par le biais de sociétés.</w:t>
      </w:r>
    </w:p>
    <w:p>
      <w:r>
        <w:rPr>
          <w:b/>
        </w:rPr>
        <w:t>E. 6.3</w:t>
      </w:r>
    </w:p>
    <w:p>
      <w:r>
        <w:t>Sur la base des faits retenus, sans arbitraire, par la cour cantonale, il y a lieu d'admettre que le défendeur a violé son obligation de renseigner le cocontractant dans le cadre des pourparlers contractuels et qu'il a donc commis une tromperie intentionnelle (un dol), lequel constitue un acte illicite au sens de l' art. 41 al. 1 CO . En effet, il a donné de faux renseignements sur la valeur des titres remis en nantissement, faisant croire à la banque que, selon deux agences de cotation, la valeur des titres correspondait à leur cotation officielle. Le comportement dolosif du défendeur est renforcé par le fait qu'il a gardé le silence et ainsi dissimulé des faits qu'il connaissait et qui étaient de nature à influer sur la décision de la banque dans le cadre de l'établissement de la relation bancaire, et plus spécialement dans le cadre de l'octroi des crédits garantis par gage et dans l'utilisation de ceux-ci. De surcroît, comme l'a retenu la cour cantonale, il s'agissait de faits que la loyauté commerciale lui commandait d'indiquer à la banque, puisqu'il s'agissait d'éléments essentiels pour elle, cette condition n'étant d'ailleurs pas nécessaire pour retenir le dol (art. 28 al. 1</w:t>
      </w:r>
    </w:p>
    <w:p>
      <w:r>
        <w:t>in fine CO). Le défendeur a péché par omission alors qu'il avait une obligation juridique de renseigner dans le cadre des pourparlers contractuels et, par la suite, au cours de la relation.</w:t>
      </w:r>
    </w:p>
    <w:p>
      <w:r>
        <w:rPr>
          <w:b/>
        </w:rPr>
        <w:t>E. 6.4</w:t>
      </w:r>
    </w:p>
    <w:p>
      <w:r>
        <w:t>Les arguments du recourant n'infirment pas cette appréciation (juridique). L'essentiel de son argumentation consiste à insister sur le devoir de diligence, plus précisément de prudence, de la banque et, comme il l'indique dans son préambule, sur l'empressement de celle-ci à vouloir jouer dans la cour des grands, en omettant de prendre les précautions nécessaires qui lui incombaient. Or, cela n'enlève rien à son obligation de s'abstenir de tout dol dans le cadre de pourparlers contractuels.</w:t>
      </w:r>
    </w:p>
    <w:p>
      <w:r>
        <w:rPr>
          <w:b/>
        </w:rPr>
        <w:t>E. 6.4.1</w:t>
      </w:r>
    </w:p>
    <w:p>
      <w:r>
        <w:t>Lorsque le recourant se plaint de violation de l' art. 2 CC , d'appréciation arbitraire des faits et de violation de l' art. 4 CC sous le titre de " responsabilité fondée sur la confiance ", il conteste en réalité son obligation de renseigner, découlant de l'entrée en pourparlers: ce faisant, il méconnaît que, lors des pourparlers déjà, il existe entre les parties une relation de confiance qui l'obligeait à renseigner la banque. Il n'est pas nécessaire, comme il le soutient, qu'il existât une relation antérieure aux discussions ayant mené à l'ouverture de la relation bancaire et à l'octroi des crédits. Le fait que la banque soit une spécialiste du secteur bancaire, qu'elle procède normalement à des investigations et prend des renseignements sur la situation de son client et sur la marche de ses affaires, analysant ses comptes, demandant la production de documents et prenant les précautions nécessaires, ne dispense pas le client (et ses représentants) de la renseigner, de bonne foi, sur les faits qu'il connaît et qui peuvent influencer sa décision de conclure le contrat ou de le conclure à certaines conditions. De même, le fait qu'il ait été mandaté par la société pour ouvrir des comptes et obtenir des crédits ne le libère pas de son obligation de se comporter selon la bonne foi. Enfin, le fait que la banque ait accepté la relation bancaire " sous surveillance " et qu'elle se méfiait, ne saurait exclure un lien de confiance imposant une obligation de renseigner. Il ne s'agit pas là d'accorder une protection accrue à un professionnel du secteur bancaire, mais d'imposer à chaque partie de se comporter loyalement.</w:t>
      </w:r>
    </w:p>
    <w:p>
      <w:r>
        <w:t>Le fait que la banque lui ait demandé de collaborer avec le département de</w:t>
      </w:r>
    </w:p>
    <w:p>
      <w:r>
        <w:t>compliance , qui investigue, n'a pas pour conséquence de le libérer de toute obligation de renseigner et de lui permettre de garder le silence sur des faits décisifs pour l'obtention de crédits.</w:t>
      </w:r>
    </w:p>
    <w:p>
      <w:r>
        <w:t>Lorsqu'il soutient que ses affirmations n'apparaissent pas suffisantes à créer une confiance légitime, sous peine de réduire à néant l'obligation de diligence de la banque, que c'est l'amateurisme des responsables de la banque qui est abyssal et proprement incroyable, il méconnaît que les parties ont l'obligation de se renseigner dès qu'elles entrent en pourparlers.</w:t>
      </w:r>
    </w:p>
    <w:p>
      <w:r>
        <w:t>En tant qu'il invoque l'appréciation arbitraire des faits, sa critique n'est pas motivée; et on ne voit pas en quoi il pourrait y avoir une violation de l' art. 4 CC .</w:t>
      </w:r>
    </w:p>
    <w:p>
      <w:r>
        <w:rPr>
          <w:b/>
        </w:rPr>
        <w:t>E. 6.4.2</w:t>
      </w:r>
    </w:p>
    <w:p>
      <w:r>
        <w:t>Sous le titre de l'obligation de renseigner (violation de l' art. 2 CC ) et le dol (violation de la jurisprudence concernant l' art. 28 CO ), le recourant conteste à nouveau son obligation de renseigner, parce que la banque a une obligation de diligence (aller au Costa Rica) qui exclurait son obligation de renseigner, que c'est à elle qu'il incombait d'entreprendre des investigations, le recourant méconnaît à nouveau l'obligation de renseigner qui lui incombe dans le cadre des pourparlers en vue de l'obtention des crédits et dont le sort a été réglé ci-dessus.</w:t>
      </w:r>
    </w:p>
    <w:p>
      <w:r>
        <w:t>Lorsqu'il soutient que les éléments retenus ne constitueraient pas des éléments essentiels du contrat, qualification que la cour cantonale aurait omise, il ignore que, comme on vient de le voir, la cour a précisément considéré, à juste titre d'ailleurs, qu'il s'agissait d'éléments qui étaient déterminants pour la banque, que la loyauté commerciale imposait au cocontractant de révéler.</w:t>
      </w:r>
    </w:p>
    <w:p>
      <w:r>
        <w:t>Lorsqu'il soutient qu'il n'est pas établi que la banque aurait tenté de savoir si les titres faisaient l'objet d'une manipulation de cours et que le rapport de causalité ferait défaut, le recourant ne s'en prend pas de manière conforme au exigences de l' art. 42 al. 2 LTF à la motivation que la cour a développée en relation avec le rapport de causalité. Lorsqu'il soutient qu'il n'est pas dolosif, malgré ses déclarations " un peu floues ", qu'il ait fait verser plus de la moitié des crédits à la société B.________, dont la cour a retenu qu'il était l'ayant droit économique, il reconnaît qu'il s'agissait pourtant d'un fait essentiel pour la banque.</w:t>
      </w:r>
    </w:p>
    <w:p>
      <w:r>
        <w:t>Enfin, contrairement à ce qu'il croit, ce n'est pas pour violation du principe de la confiance qu'il est condamné à indemniser la banque, mais parce qu'il a commis un acte illicite: il s'est rendu coupable de dol par des affirmations fausses et par le silence qu'il a gardé sur des faits décisifs qui étaient essentiels pour la banque.</w:t>
      </w:r>
    </w:p>
    <w:p>
      <w:r>
        <w:rPr>
          <w:b/>
        </w:rPr>
        <w:t>E. 7</w:t>
      </w:r>
    </w:p>
    <w:p>
      <w:r>
        <w:t>La responsabilité aquilienne présuppose encore la faute de l'auteur.</w:t>
      </w:r>
    </w:p>
    <w:p>
      <w:r>
        <w:t>Selon la jurisprudence, le comportement dolosif au sens de l' art. 28 CO doit aussi être qualifié de fautif (arrêt 4C.270/2003 précité consid. 3.1. et la référence citée).</w:t>
      </w:r>
    </w:p>
    <w:p>
      <w:r>
        <w:rPr>
          <w:b/>
        </w:rPr>
        <w:t>E. 8</w:t>
      </w:r>
    </w:p>
    <w:p>
      <w:r>
        <w:t>Il faut encore qu'un dommage ait été subi par le lésé.</w:t>
      </w:r>
    </w:p>
    <w:p>
      <w:r>
        <w:rPr>
          <w:b/>
        </w:rPr>
        <w:t>E. 8.1</w:t>
      </w:r>
    </w:p>
    <w:p>
      <w:r>
        <w:t>Le lésé doit prouver son dommage ( art. 42 al. 1 CO ). Toutefois, lorsque le montant exact du dommage ne peut être établi, le juge le détermine équitablement en considération du cours ordinaire des choses et des mesures prises par la partie lésée ( art. 42 al. 2 CO ).</w:t>
      </w:r>
    </w:p>
    <w:p>
      <w:r>
        <w:t>En vertu de l' art. 42 al. 1 CO , le demandeur doit donc en principe prouver non seulement l'existence du dommage, mais aussi son montant.</w:t>
      </w:r>
    </w:p>
    <w:p>
      <w:r>
        <w:t>L' 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w:t>
      </w:r>
    </w:p>
    <w:p>
      <w:r>
        <w:t>Beweisnot ) ( ATF 122 III 219 consid. 3a et les arrêts cités; arrêt 4A_307/2008 du 27 novembre 2008 consid. 5.3; cf. HANS-PETER WALTER, in Berner Kommentar, n° 524 ad art. 8 CC ). Lorsque tel est le cas, l'existence (ou la survenance) du dommage doit être établie avec une vraisemblance prépondérante (WALTER, op. cit., n° 525 ad art. 8 CC ).</w:t>
      </w:r>
    </w:p>
    <w:p>
      <w:r>
        <w:t>Quand l' art. 42 al. 2 CO est applicable (état de nécessité quant à la preuve;</w:t>
      </w:r>
    </w:p>
    <w:p>
      <w:r>
        <w:t>Beweisnot ),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 ATF 131 III 360 consid. 5.1 p. 363 s.; 122 III 219 consid. 3a; arrêt 4A_97/2017 du 4 octobre 2017 consid. 4.1.3 et les arrêts cités).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(arrêt 4A_97/2017 déjà cité consid. 4.1.3 et les arrêts cités).</w:t>
      </w:r>
    </w:p>
    <w:p>
      <w:r>
        <w:rPr>
          <w:b/>
        </w:rPr>
        <w:t>E. 8.2</w:t>
      </w:r>
    </w:p>
    <w:p>
      <w:r>
        <w:t>Pour déterminer le dommage, la cour cantonale s'est basée sur le solde négatif des comptes de la société au 30 mars 2010, après que la banque a eu réalisé les valeurs remises en gage par la société. Elle a retenu que la banque a vendu une partie des titres du portefeuille, réduisant ainsi partiellement sa créance. Elle a écarté les autres montants que le défendeur voulait voir prendre en compte, comme non motivés ou pertinents. Elle a constaté que la banque n'a plus réalisé d'autres titres du portefeuille après octobre 2009, car le reste de ces titres étaient illiquides ou bloqués, ce qui a été corroboré par un témoignage et par les relevés des comptes de la société. Elle a estimé que le défendeur, qui prétend que la valeur résiduelle était supérieure, aurait dû en apporter la preuve, ce qu'il n'a pas fait en se référant au tableau des titres du portefeuille et en soutenant que la banque aurait pu en tirer 29 millions d'USD. Elle a estimé que son argumentation ne suffisait pas pour retenir que la banque aurait pu diminuer davantage son dommage. Le défendeur admet d'ailleurs que les titres déposés sur le compte de la société sont des "</w:t>
      </w:r>
    </w:p>
    <w:p>
      <w:r>
        <w:t>penny stocks ", soit des titres à valeur quasi nulle, et il ne conteste pas que ces titres ont été utilisés ou devaient l'être pour effectuer des fraudes à grande échelle, impliquant de manipuler la cotation desdits titres. La cour cantonale a retenu que la banque a démontré de manière convaincante que la vente des titres restants était impossible au vu de leur illiquidité.</w:t>
      </w:r>
    </w:p>
    <w:p>
      <w:r>
        <w:t>Sous le titre " valeur résiduelle ", le recourant soutient que la cour aurait retranscrit de manière imprécise les déclarations d'un</w:t>
      </w:r>
    </w:p>
    <w:p>
      <w:r>
        <w:t>broker pour en déduire que les titres avaient une valeur quasi nulle, que la valeur nulle des "</w:t>
      </w:r>
    </w:p>
    <w:p>
      <w:r>
        <w:t>penny stocks " n'aurait été ni alléguée, ni prouvée, que la cour aurait retenu cette valeur quasi nulle alors que lui-même avait affirmé l'inverse, en produisant un tableau et qu'en réalité c'est la banque qui a démontré son incompétence à gérer la situation en ne vendant pas les titres à sa disposition.</w:t>
      </w:r>
    </w:p>
    <w:p>
      <w:r>
        <w:t>Cette critique du recourant est purement appellatoire et ne démontre en rien que la cour cantonale aurait commis l'arbitraire dans l'estimation du dommage.</w:t>
      </w:r>
    </w:p>
    <w:p>
      <w:r>
        <w:rPr>
          <w:b/>
        </w:rPr>
        <w:t>E. 9</w:t>
      </w:r>
    </w:p>
    <w:p>
      <w:r>
        <w:t>Enfin, la responsabilité aquilienne présuppose un rapport de causalité naturelle et adéquate entre le comportement de l'auteur et le dommage subi par le lésé, causalité que la cour cantonale a admise et que le recourant ne critique pas.</w:t>
      </w:r>
    </w:p>
    <w:p>
      <w:r>
        <w:rPr>
          <w:b/>
        </w:rPr>
        <w:t>E. 10</w:t>
      </w:r>
    </w:p>
    <w:p>
      <w:r>
        <w:t>En ce qui concerne la faute concomitante de la banque, la cour cantonale a retenu que la faute de la banque était moyenne et qu'il se justifiait de réduire d'un tiers l'indemnité qui lui est due. Elle a considéré qu'aucune circonstance ne justifiait de s'écarter de cette appréciation et a donc confirmé la réduction admise par les juges de première instance.</w:t>
      </w:r>
    </w:p>
    <w:p>
      <w:r>
        <w:t>Évoquant les processus d'acceptation de nouveaux clients de la banque, qui n'auraient pas été respectés, le fait que le gestionnaire ait apporté ce nouveau client lorsqu'il a été engagé par la banque et que celle-ci n'ait pas investigué le motif pour lequel la société avait quitté sa banque liechtensteinoise, le fait qu'elle n'ait pas évalué indépendamment les titres remis en nantissement, se fiant à leur cotation boursière, le recourant soutient que la procédure de la banque était " bancale et insuffisante " et que la cour cantonale a arbitrairement alourdi sa faute à lui. Selon lui, elle aurait dû retenir la faute exclusive de la banque ( art. 44 CO ).</w:t>
      </w:r>
    </w:p>
    <w:p>
      <w:r>
        <w:t>Ce faisant, le recourant ne démontre pas en quoi l'appréciation de la cour cantonale d'une réduction d'un tiers résulterait d'un excès ou d'un abus de son pouvoir d'appréciation ( art. 4 CC dans l'application de l' art. 44 al. 1 CO ).</w:t>
      </w:r>
    </w:p>
    <w:p>
      <w:r>
        <w:t>Sous couvert de faute concomitante, le recourant semble en réalité vouloir invoquer l'interruption du rapport de causalité que la cour cantonale a spécialement examinée. Il ne s'en prend toutefois pas à la motivation de la cour, laquelle a retenu que si la banque a fait preuve de négligence, celle-ci n'est pas si extraordinaire qu'elle reléguerait à l'arrière-plan le comportement du défendeur, qui comme on l'a vu, lui a caché volontairement des informations essentielles, qui l'aurait amenée à ne pas ouvrir de relation bancaire avec la société et à ne pas accorder de prêts à celle-ci.</w:t>
      </w:r>
    </w:p>
    <w:p>
      <w:r>
        <w:rPr>
          <w:b/>
        </w:rPr>
        <w:t>E. 11</w:t>
      </w:r>
    </w:p>
    <w:p>
      <w:r>
        <w:t>Au vu de ce qui précède, le recours doit être rejeté dans la mesure où il est recevable. Il n'y a pas lieu d'examiner le grief relatif à la qualité d'organe du défendeur qui n'a été formulé qu'à titre subsidiaire, pour le cas où cette qualité lui serait imputée, ce qui n'est pas le cas.</w:t>
      </w:r>
    </w:p>
    <w:p>
      <w:r>
        <w:t>Les frais judiciaires doivent être mis à la charge du recourant, qui succombe ( art. 66 al. 1 LTF ). Celui-ci devra en outre verser des dépens à sa partie adverse ( art. 68 al. 1 et 2 LTF ), lesquels seront prélevés sur les sûretés qu'il a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