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284/2022 vom 22. August 2022</w:t>
      </w:r>
    </w:p>
    <w:p>
      <w:r>
        <w:t>Bundesgericht, 2022-08-22, DE</w:t>
      </w:r>
    </w:p>
    <w:p>
      <w:r>
        <w:rPr>
          <w:b/>
        </w:rPr>
        <w:t xml:space="preserve">Quelle: </w:t>
      </w:r>
      <w:r>
        <w:t>https://mcp.opencaselaw.ch/entscheid/bger_4A_284_2022</w:t>
      </w:r>
    </w:p>
    <w:p>
      <w:r>
        <w:t>FR: TF 4A 284/2022 du 22 août 2022</w:t>
      </w:r>
    </w:p>
    <w:p>
      <w:r>
        <w:t>IT: TF 4A 284/2022 del 22 agosto 2022</w:t>
      </w:r>
    </w:p>
    <w:p>
      <w:pPr>
        <w:pStyle w:val="Heading2"/>
      </w:pPr>
      <w:r>
        <w:t>Regeste</w:t>
      </w:r>
    </w:p>
    <w:p>
      <w:r>
        <w:t>Mieterausweisung, | Vertragsrecht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Entscheid eines oberen kantonalen Gerichts, das gemäss Art. 6 ZPO als einzige Instanz entschieden hat ( Art. 75 Abs. 2 lit. b BGG ). Die Beschwerde ist unabhängig vom Streitwert zulässig ( Art. 74 Abs. 2 lit. b BGG ), die Beschwerdeführerin ist mit ihrem Antrag in Bezug auf die Mieterausweisung unterlegen ( Art. 76 Abs. 1 BGG ) und die Frist zur Einreichung der Beschwerde ist eingehalten ( Art. 100 Abs. 1 BGG ). Die Beschwerdeführerin kritisiert die Verteilung der Prozesskosten durch die Vorinstanz. Sie unterlässt es jedoch, zum Kostenpunkt ein beziffertes Rechtsbegehren ( Art. 42 Abs. 1 BGG ) zu stellen (vgl. BGE 143 III 111 E. 1.2 mit Hinweisen). Hinsichtlich des Kostenpunkts ist auf die Beschwerde nicht einzutreten. Im Übrigen ist auf die Beschwerde in Zivilsachen unter Vorbehalt einer rechtsgenügenden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Soweit die Beschwerdeführerin die sachliche Zuständigkeit des Handelsgerichts nach Art. 6 Abs. 2 ZPO in Frage stellt, sind ihre Vorbringen offensichtlich unbegründet: Sie verkennt mit ihrem Hinweis auf Art. 243 Abs. 2 und 3 ZPO sowie die bundesgerichtliche Rechtsprechung zur sachlichen Zuständigkeit des Handelsgerichts ( BGE 143 III 137 E. 2), dass die von ihr ins Feld geführte Abgrenzung zwischen dem vereinfachten und dem ordentlichen Verfahren vorliegend nicht zur Diskussion steht. Vielmehr geht es hier um den Rechtsschutz in klaren Fällen ( Art. 257 ZPO ), für den das summarische Verfahren anwendbar ist ( Art. 248 lit. b ZPO ). Im Übrigen stellt die Beschwerdeführerin weder in Frage, dass es sich vorliegend um eine Streitigkeit handelt, welche die geschäftliche Tätigkeit der beiden Parteien betrifft (vgl. Art. 6 Abs. 2 lit. a ZPO ), noch bestreitet sie, dass die Parteien im schweizerischen Handelsregister eingetragen sind ( Art. 6 Abs. 2 lit. c ZPO ). Die Vorinstanz hat mit Hinweis auf die Streitwertgrenze von Fr. 15'000.-- in mietrechtlichen Fällen ( Art. 74 Abs. 1 lit. a BGG ) die Voraussetzung von Art. 6 Abs. 2 lit. b ZPO zudem zu Recht bejaht (dazu BGE 139 III 67 E. 1.2). Dieser Streitwert ist unter Berücksichtigung der bundesgerichtlichen Rechtsprechung zur Streitwertberechnung bei Ausweisungsbegehren ( BGE 144 III 346 E. 1.2) angesichts der Höhe des vereinbarten Mietzinses ohne Weiteres gegeben. Dabei ist darauf hinzuweisen, dass im Hinblick auf das wirtschaftliche Interesse der Parteien selbst in Fällen, in denen es nur um die Frage der Ausweisung geht, unabhängig von allfälligen kantonalen Unterschieden in der tatsächlichen Bewältigung solcher Summarverfahren von einer Dauer von sechs Monaten auszugehen ist ( BGE 144 III 346 E. 1.2.1). Die Vorbringen in der Beschwerde zur Verfahrensdauer und zum massgebenden Streitwert sind demnach offensichtlich unbehelflich.</w:t>
      </w:r>
    </w:p>
    <w:p>
      <w:r>
        <w:rPr>
          <w:b/>
        </w:rPr>
        <w:t>E. 3</w:t>
      </w:r>
    </w:p>
    <w:p>
      <w:r>
        <w:t>Die Beschwerdeführerin bringt vor, die Voraussetzungen für eine Kündigung infolge Zahlungsrückstands nach Art. 257d OR seien nicht erfüllt gewesen.</w:t>
      </w:r>
    </w:p>
    <w:p>
      <w:r>
        <w:rPr>
          <w:b/>
        </w:rPr>
        <w:t>E. 3.1</w:t>
      </w:r>
    </w:p>
    <w:p>
      <w:r>
        <w:t>Die Vorinstanz erwog, während der Mietzins für den Monat November 2021 fristgerecht bezahlt worden sei, sei der Mietzins für den Monat Dezember 2021 erst am 17. Januar 2022 eingegangen. Die von der Beschwerdegegnerin mit Schreiben vom 10. Dezember 2021 angesetzte Zahlungsfrist von 30 Tagen habe jedoch bereits am 14. Januar 2022 geendet. Damit seien die Voraussetzungen einer ausserordentlichen Kündigung nach Art. 257d Abs. 2 OR erfüllt gewesen; die mit Schreiben vom 17. Januar 2022 erfolgte Kündigung sei zudem in der nach Art. 266l Abs. 2 OR vorgeschriebenen Form erfolgt. An der Gültigkeit der ausserordentlichen Kündigung vermöge auch die fristgerechte Tilgung des Mietzinses für den Monat November 2021 nichts zu ändern, zumal der Mietzins für den Monat Dezember 2021 erst am 17. Januar 2022 und damit nach Ablauf der Zahlungsfrist getilgt worden sei. Der von der Beschwerdeführerin zitierte Bundesgerichtsentscheid 4C.96/2006 vom 4. Juli 2006 sei im Übrigen nicht einschlägig, sei es im genannten Fall doch um die Frage gegangen, ob eine am letzten Tag der Frist nach Art. 257d Abs. 1 OR versendete Kündigung als verfrüht zu betrachten sei. Da die Kündigung vorliegend nach Ablauf der Kündigungsfrist versendet worden sei, könne die Beschwerdeführerin daraus nichts für sich ableiten.</w:t>
      </w:r>
    </w:p>
    <w:p>
      <w:r>
        <w:rPr>
          <w:b/>
        </w:rPr>
        <w:t>E. 3.2</w:t>
      </w:r>
    </w:p>
    <w:p>
      <w:r>
        <w:t>Indem die Beschwerdeführerin vor Bundesgericht einmal mehr auf das Urteil 4C.96/2006 vom 4. Juli 2006 E. 2 verweist, gemäss dem der Zugang der Kündigung massgeblich sei, vermag sie keine Bundesrechtsverletzung aufzuzeigen. Auch wenn ihr das Kündigungsschreiben am 18. Januar 2022 zuging, wie sie geltend macht, ändert dies nichts daran, dass die Kündigung am 17. Januar 2022 und damit erst nach Ablauf der angesetzten Zahlungsfrist ausgesprochen wurde. Die Vorinstanz ging daher zutreffend davon aus, dass sich aus dem zitierten Entscheid nichts zugunsten der Beschwerdeführerin ableiten lässt. Soweit die Beschwerdeführerin im Übrigen vorbringt, die Beschwerdegegnerin habe mit dem Aussprechen der Kündigung bis zum Eingang der ausstehenden Mietzinszahlung zugewartet bzw. die Beschwerdeführerin habe die Zahlung des Dezember-Mietzinses eigens telefonisch angekündigt, setzt sie sich in unzulässiger Weise über den vorinstanzlich verbindlich festgestellten Sachverhalt hinweg ( Art. 105 Abs. 1 BGG ), ohne jedoch eine hinreichende Sachverhaltsrüge zu erheben. Ausserdem kann ihr nicht gefolgt werden, wenn sie vorbringt, die Beschwerdegegnerin hätte aufgrund des Zahlungseingangs des November-Mietzinses ohne Weiteres davon ausgehen müssen, dass auch der Dezember-Mietzins noch eingehen werde. Die Rüge, die Voraussetzungen für eine ausserordentliche Kündigung nach Art. 257d OR seien entgegen dem angefochtenen Entscheid nicht erfüllt gewesen, erweist sich als unbegründet. Mit der Vorinstanz ist von einem klaren Fall im Sinne von Art. 257 Abs. 1 ZPO auszugehen.</w:t>
      </w:r>
    </w:p>
    <w:p>
      <w:r>
        <w:rPr>
          <w:b/>
        </w:rPr>
        <w:t>E. 4</w:t>
      </w:r>
    </w:p>
    <w:p>
      <w:r>
        <w:t>Die Beschwerde ist im Verfahren nach Art. 109 Abs. 2 lit. a BGG abzuweisen, soweit darauf eingetreten werden kann. Dem Ausgang des Verfahrens entsprechend wird die Beschwerdeführerin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