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284/2007 vom 7. September 2007</w:t>
      </w:r>
    </w:p>
    <w:p>
      <w:r>
        <w:t>Bundesgericht, 2007-09-07, IT</w:t>
      </w:r>
    </w:p>
    <w:p>
      <w:r>
        <w:rPr>
          <w:b/>
        </w:rPr>
        <w:t xml:space="preserve">Quelle: </w:t>
      </w:r>
      <w:r>
        <w:t>https://mcp.opencaselaw.ch/entscheid/bger_4A_284_2007</w:t>
      </w:r>
    </w:p>
    <w:p>
      <w:r>
        <w:t>FR: TF 4A 284/2007 du 7 septembre 2007</w:t>
      </w:r>
    </w:p>
    <w:p>
      <w:r>
        <w:t>IT: TF 4A 284/2007 del 7 settembre 2007</w:t>
      </w:r>
    </w:p>
    <w:p>
      <w:pPr>
        <w:pStyle w:val="Heading2"/>
      </w:pPr>
      <w:r>
        <w:t>Regeste</w:t>
      </w:r>
    </w:p>
    <w:p>
      <w:r>
        <w:t>contratto di locazione; protrazione | Diritto contratuale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divenuto privo di oggetto e la causa 4A_284/2007 è stralciata dai ruoli.</w:t>
      </w:r>
    </w:p>
    <w:p>
      <w:r>
        <w:rPr>
          <w:b/>
        </w:rPr>
        <w:t>E. 2</w:t>
      </w:r>
    </w:p>
    <w:p>
      <w:r>
        <w:t>Le spese giudiziarie di fr. 1'000.-- sono poste a carico dell'opponente, la quale rifonderà alla ricorrente fr. 1'000.-- per ripetibili della sede federale.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 Losanna, 7 settembre 2007 In nome della I Corte di diritto civile del Tribunale federale svizzero Il presidente: La cancelliera: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