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4A_282/2019 vom 4. November 2019</w:t>
      </w:r>
    </w:p>
    <w:p>
      <w:r>
        <w:t>Bundesgericht, 2019-11-04, FR</w:t>
      </w:r>
    </w:p>
    <w:p>
      <w:r>
        <w:rPr>
          <w:b/>
        </w:rPr>
        <w:t xml:space="preserve">Quelle: </w:t>
      </w:r>
      <w:r>
        <w:t>https://mcp.opencaselaw.ch/entscheid/bger_4A_282_2019</w:t>
      </w:r>
    </w:p>
    <w:p>
      <w:r>
        <w:t>FR: TF 4A_282/2019 du 4 novembre 2019</w:t>
      </w:r>
    </w:p>
    <w:p>
      <w:r>
        <w:t>IT: TF 4A_282/2019 del 4 novembre 2019</w:t>
      </w:r>
    </w:p>
    <w:p>
      <w:pPr>
        <w:pStyle w:val="Heading2"/>
      </w:pPr>
      <w:r>
        <w:t>Erwägungen</w:t>
      </w:r>
    </w:p>
    <w:p>
      <w:r>
        <w:rPr>
          <w:b/>
        </w:rPr>
        <w:t>E. 1.1</w:t>
      </w:r>
    </w:p>
    <w:p>
      <w:r>
        <w:t>Les conclusions subsidiaires de la recourante tendent à la réforme du jugement de première instance et non du jugement entrepris. Elles sont donc par nature irrecevables ( art. 75 al. 1 LTF ). Ainsi, les seules conclusions valablement formulées par la recourante sont de nature cassatoire, ce qui n'est pas sans poser de problèmes au vu du fait que le recours en matière civile est une voie de réforme ( art. 107 al. 2 LTF ; ATF 134 III 379 consid. 1.3; 133 III 489 consid. 3.1). L'interprétation des conclusions selon le principe de la confiance et à la lumière de la motivation du recours ( ATF 136 V 131 consid. 1.2; 134 III 235 consid. 2) ne laissant néanmoins aucun doute quant à la volonté de la recourante de voir l'arrêt entrepris réformé en ce sens que la demanderesse n'obtienne aucune indemnité, il y a lieu d'entrer en matière.</w:t>
      </w:r>
    </w:p>
    <w:p>
      <w:r>
        <w:rPr>
          <w:b/>
        </w:rPr>
        <w:t>E. 1.2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requise pour les affaires pécuniaires de droit du travail ( art. 74 al. 1 let. a LTF ). Déposé par la partie ayant succombé dans ses conclusions et qui a donc qualité pour recourir ( art. 76 al. 1 LTF ), dans le délai ( art. 45 al. 1 et art. 100 al. 1 LTF ) et la forme ( art. 42 LTF ) prévus par la loi, le recours est recevable sur le principe, sous réserve de l'examen des griefs particuliers.</w:t>
      </w:r>
    </w:p>
    <w:p>
      <w:r>
        <w:rPr>
          <w:b/>
        </w:rPr>
        <w:t>E. 1.3</w:t>
      </w:r>
    </w:p>
    <w:p>
      <w:r>
        <w:t>Dans son arrêt, l'autorité précédente a confirmé le jugement de première instance par lequel le Tribunal civil de l'arrondissement de La Côte a notamment condamné la défenderesse à verser un montant de 9'449 fr. 40 avec intérêts à l'intimée 2. La défenderesse a dirigé son appel contre les deux intimées. Dès lors il doit être considéré qu'il s'agit d'une simple omission de la part de l'autorité précédente si l'intimée 2 ne figure pas au rang des parties sur la première page de l'arrêt entrepris. Cette dernière a qualité de partie dans la présente procédure.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3</w:t>
      </w:r>
    </w:p>
    <w:p>
      <w:r>
        <w:t>La recourante reproche tout d'abord à l'autorité précédente de ne pas avoir notifié son appel à la partie intimée [sic]. Il en déduit une violation de l' art. 312 al. 1 CPC et de son droit d'être entendu ( art. 29 al. 2 Cst. ).</w:t>
      </w:r>
    </w:p>
    <w:p>
      <w:r>
        <w:t>S'il est vrai qu'au vu de la longueur et du contenu de la décision entreprise, on serait en droit de s'interroger sur le bien-fondé de la décision de l'autorité précédente de ne pas notifier l'appel aux parties adverses en application de l' art. 312 al. 1 CPC (cf. ATF 143 III 153 consid. 4), la recourante n'a pas d'intérêt juridique à soulever ce grief. En effet, ce sont les parties adverses - et non la recourante - qui se sont vues privées de la possibilité de se déterminer sur l'appel. Faute d'intérêt juridique, son grief est irrecevable.</w:t>
      </w:r>
    </w:p>
    <w:p>
      <w:r>
        <w:rPr>
          <w:b/>
        </w:rPr>
        <w:t>E. 4</w:t>
      </w:r>
    </w:p>
    <w:p>
      <w:r>
        <w:t>Dans un deuxième grief, la recourante soutient que l'autorité précédente a violé le droit à la preuve ainsi que le principe d'égalité. Il évoque à ce titre les art. 8 CC , 55 al. 1, 152 et 157 CPC ainsi que l' art. 8 al. 1 Cst.</w:t>
      </w:r>
    </w:p>
    <w:p>
      <w:r>
        <w:t>La recourante se livre à une discussion sur plus de 15 pages de l'appréciation des preuves par l'autorité précédente, remettant pour l'essentiel en cause la manière dont celle-ci a évalué la force probante des éléments sur lesquels elle a fondé son jugement. Se faisant, elle méconnaît de manière fondamentale la nature de la procédure de recours devant le Tribunal fédéral. Comme rappelé précédemment (cf. supra consid. 2), la cour de céans n'intervient en effet, en matière d'appréciation des preuves, que lorsque la partie recourante démontre que la décision entreprise est entachée d'arbitraire. La critique inutilement répétitive et purement appellatoire de la recourante est, dès lors, irrecevable. Le fait qu'elle soulève de manière ponctuelle, dans le cadre de sa critique de l'appréciation des preuves, différentes questions juridiques n'y change rien, pareil procédé n'étant pas admissible.</w:t>
      </w:r>
    </w:p>
    <w:p>
      <w:r>
        <w:rPr>
          <w:b/>
        </w:rPr>
        <w:t>E. 5</w:t>
      </w:r>
    </w:p>
    <w:p>
      <w:r>
        <w:t>Ce n'est que dès la 26ème page de son recours que la recourante fait grief à l'autorité précédente, de manière succincte, d'avoir versé dans l'arbitraire ( art. 9 Cst. ). Elle lui reproche avant tout de s'être appuyée exclusivement sur les éléments en faveur de l'intimée et d'avoir nié toute valeur probante aux témoignages des personnes présentes au moment de la supposée démission de l'intimée.</w:t>
      </w:r>
    </w:p>
    <w:p>
      <w:r>
        <w:t>Il est douteux que le recours réponde aux exigences particulièrement strictes instaurées par la jurisprudence en matière de violation de droits fondamentaux ( art. 106 al. 2 LTF ). Quoi qu'il en soit, la recourante ne peut de toute façon pas être suivie. Rien ne permet en effet d'affirmer que le Tribunal cantonal a fait preuve d'arbitraire en retenant que les seuls témoignages des personnes ayant participé à la réunion du 4 mai 2016 ne suffisaient pas à établir que la demanderesse avait démissionné de manière claire. Il n'est en effet pas arbitraire de prendre en considération les liens professionnels et familiaux qui unissent des témoins à une partie dans le cadre de l'appréciation des preuves, particulièrement lorsqu'il s'agit comme en l'espèce notamment du frère et de la femme de l'associé gérant de la défenderesse. Inutile dès lors de s'attarder sur les formules sensationnalistes de la recourante qui estime notamment qu'après l'arrêt entrepris, " jamais plus un employeur ne pourra démontrer quoi que ce soit puisque ses employés sont décrits, implicitement, comme des témoins non fiables ".</w:t>
      </w:r>
    </w:p>
    <w:p>
      <w:r>
        <w:rPr>
          <w:b/>
        </w:rPr>
        <w:t>E. 6</w:t>
      </w:r>
    </w:p>
    <w:p>
      <w:r>
        <w:t>La recourante reproche enfin à la cour cantonale d'avoir violé les art. 335 al. 1 et 337 CO . Elle fonde néanmoins son grief sur des prémisses factuelles ne ressortant pas de l'arrêt entrepris, soit la résiliation par l'intimée de son contrat de travail avec effet immédiat, l'emploi par cette dernière de termes injurieux à l'endroit de ses collègues de travail au moment de quitter ses locaux de la défenderesse ainsi que sa divulgation d'informations confidentielles à des tiers. Il n'en va pas autrement de la critique de la recourante ayant trait au décompte des jours de vacances de l'intimée. Sa critique appellatoire de l'état de faits retenu ne répond pas au principe strict de l'allégation exposé précédemment (cf. supra consid. 2.1).</w:t>
      </w:r>
    </w:p>
    <w:p>
      <w:r>
        <w:rPr>
          <w:b/>
        </w:rPr>
        <w:t>E. 7</w:t>
      </w:r>
    </w:p>
    <w:p>
      <w:r>
        <w:t>Au vu de ce qui précède, le recours doit être rejeté dans la mesure de sa recevabilité. La recourante, qui succombe, sera condamnée à payer les frais de la procédure fédérale ( art. 66 al. 1 LTF ) et à verser à l'intimée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