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282/2009 vom 15. Dezember 2009</w:t>
      </w:r>
    </w:p>
    <w:p>
      <w:r>
        <w:t>Bundesgericht, 2009-12-15, FR</w:t>
      </w:r>
    </w:p>
    <w:p>
      <w:r>
        <w:rPr>
          <w:b/>
        </w:rPr>
        <w:t xml:space="preserve">Quelle: </w:t>
      </w:r>
      <w:r>
        <w:t>https://mcp.opencaselaw.ch/entscheid/bger_4A_282_2009</w:t>
      </w:r>
    </w:p>
    <w:p>
      <w:r>
        <w:t>FR: TF 4A 282/2009 du 15 décembre 2009</w:t>
      </w:r>
    </w:p>
    <w:p>
      <w:r>
        <w:t>IT: TF 4A 282/2009 del 15 dicembre 2009</w:t>
      </w:r>
    </w:p>
    <w:p>
      <w:pPr>
        <w:pStyle w:val="Heading2"/>
      </w:pPr>
      <w:r>
        <w:t>Regeste</w:t>
      </w:r>
    </w:p>
    <w:p>
      <w:r>
        <w:t>responsabilité contractuelle; dommage-intérêts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Ses auteurs ont pris part à l'instance précédente et succombé dans leurs conclusions ( art. 76 al. 1 LTF ). La valeur litigieuse excède le minimum légal de 30'000 fr. (art. 51 al. 1 let. a et 74 al. 1 let. b LTF). Introduit en temps utile ( art. 100 al. 1 LTF ) et dans les formes requises (art. 42 al. 1 à 3 LTF), le recours est en principe recevable, alors même que, conformément aux observations de la défenderesse, le libellé des conclusions pourrait prêter à confusion.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Le recours n'est pas recevable pour violation du droit cantonal, hormis les droits constitutionnels cantonaux ( art. 95 let . c LTF) et certaines dispositions sans pertinence en matière civile ( art. 95 let . d LTF).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En instance fédérale, il n'est plus contesté que la défenderesse doive réparer le dommage consécutif à son retard dans l'exécution de la promesse de vente du 24 octobre 2005; le montant des dommages-intérêts est seul litigieux.</w:t>
      </w:r>
    </w:p>
    <w:p>
      <w:r>
        <w:rPr>
          <w:b/>
        </w:rPr>
        <w:t>E. 3</w:t>
      </w:r>
    </w:p>
    <w:p>
      <w:r>
        <w:t>Les demandeurs persistent à réclamer 50'952 fr. au titre des intérêts qu'il ont versés, pour rémunération du crédit bancaire, du 1er avril au 21 décembre 2006. La Cour de justice rejette cette prétention au motif que les demandeurs auraient dû acquitter ces mêmes intérêts si leur cocontractante avait exécuté la promesse de vente sans délai. La notion juridique du dommage est commune aux responsabilités contractuelle et délictuelle ( art. 99 al. 3 CO ; ATF 87 II 290 consid. 4a p. 291):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 ATF 133 III 462 consid. 4.4.2 p. 471; 132 III 359 consid. 4 p. 366; 132 III 321 consid. 2.2.1 p. 323/324). Les demandeurs ne contestent pas qu'ils auraient dû acquitter les intérêts aussi s'ils avaient pu occuper la villa dès le 31 mars 2006. Ils affirment que la Cour de justice, parce que la promesse de vente prévoyait une exécution simultanée des prestations réciproques, aurait dû comparer leur fortune nette au 31 mars 2006 avec la même au 21 décembre 2007. Cette thèse est erronée: le seul point décisif a pour objet de déterminer si le retard de la défenderesse, quel que fût le moment auquel ils devaient eux-mêmes fournir leur propre prestation, a entraîné un dommage. A juste titre, la Cour a donc comparé la fortune nette des demandeurs après que le retard avait pris fin, soit au 21 décembre 2007, avec ce que ladite fortune aurait été au même moment mais sans ce retard. Il est par ailleurs vrai que les demandeurs ont payé des intérêts afférents à un laps de plusieurs mois, durant lequel, à cause du retard de l'autre partie, ils étaient privés de la jouissance de la villa. La privation de l'usage d'une chose se trouve éventuellement à l'origine d'un dommage, mais, à elle seule, elle n'en constitue pas un ( ATF 126 III 388 consid. 11 p. 392). Contrairement à l'opinion des demandeurs, ce principe est pleinement applicable en l'espèce: il n'existe aucun lien de cause à effet entre la privation de l'usage de la villa et le versement des intérêts. Il n'y a d'ailleurs pas lieu de se référer à une notion du dommage autre que celle consacrée par la jurisprudence déjà citée, qui serait centrée sur l'absence d'utilité, pour les demandeurs, de payer des intérêts alors qu'ils n'ont pas la villa (cf. Ingeborg Schwenzer, Schweizerisches Obligationenrecht, Allgemeiner Teil, 5e éd., 2009, p. 80 n° 14.11; Niklaus Lüchinger, Schadenersatz im Vertragsrecht, 1999, p. 171 nos 496 et ss; Eugen Bucher, Schweizerisches Obligationenrecht, 2e éd., 1988, p. 360; Hans Merz, Obligationenrecht, in Schweizerisches Privatrecht, vol. VI/1, 1984, p. 196/197). Il ne se justifie pas non plus de prendre en considération que dans l'hypothèse où les demandeurs se seraient départis de la promesse de vente, plutôt que réclamer et obtenir, en définitive, l'exécution de ce contrat, les intérêts versés eussent constitué un dommage sujet à réparation (cf. Schwenzer, op. cit, p. 90 n° 14.30; Lüchinger, op. cit., p. 156 nos 447 et ss). Les demandeurs réclament vainement le complètement des constatations de fait sur divers points qui ne sont d'aucune pertinence au regard de la notion juridique du dommage. Sur leur prétention correspondant aux intérêts, le jugement de la Cour échappe à toute critique.</w:t>
      </w:r>
    </w:p>
    <w:p>
      <w:r>
        <w:rPr>
          <w:b/>
        </w:rPr>
        <w:t>E. 4</w:t>
      </w:r>
    </w:p>
    <w:p>
      <w:r>
        <w:t>Les demandeurs s'étant désistés de leur action en exécution contre la défenderesse, ils ont sollicité la réduction de l'émolument de mise au rôle; en définitive, celui-ci fut fixé à 9'600 francs. En appel, la défenderesse reconnaissait leur devoir ce montant et ils l'ont donc obtenu. En outre, la Cour de justice leur accorde un dédommagement de 10'000 fr. pour leurs frais d'avocat relatifs à la préparation et à la négociation de la convention du 21 novembre 2006. Sur la base de la note d'honoraires de leur avocat, les demandeurs réclamaient en bloc 48'890 fr.80 au titre des frais de conseil nécessaires à la défense de leurs intérêts. Comme on l'a vu, sur ce montant, la Cour alloue ex aequo et bono 10'000 fr. pour la préparation et la négociation de la transaction extrajudiciaire. Pour le surplus, elle retient que les services de l'avocat se rapportaient aussi à des démarches qui ne tendaient pas à l'exécution de la promesse de vente, et dont les coûts n'étaient donc pas imputables à la défenderesse, ou que les demandeurs se trouvaient déjà dédommagés par les dépens obtenus à l'issue de la procédure de mesures provisionnelles. Enfin, la Cour rejette toute prétention consécutive aux frais d'avocat dans l'action principale en exécution de la promesse de vente. Sur ce dernier point, elle retient que ces frais auraient pu être couverts par les dépens à obtenir à l'issue de cette action. En renonçant à ces dépens selon les termes de la convention du 21 novembre 2006, les demandeurs ont aussi renoncé à réclamer le remboursement des frais d'avocat dans une instance ultérieure. Sur ce même point, les demandeurs se plaignent d'une constatation arbitraire des clauses topiques de la convention, et d'une application incorrecte du droit fédéral. Ils réclament qu'un montant supplémentaire de 6'000 fr. leur soit alloué au titre des frais d'avocat dans l'action en exécution, ou que la cause soit renvoyée à la Cour de justice pour l'estimation de ce montant supplémentaire. Sur la base du dossier, il s'impose de compléter les constatations de fait en ce sens que l'art. 12 al. 2 de la convention du 21 novembre 2006 a la teneur déjà indiquée sous let. B ci-dessus: « La cause sera retirée sans dépens. Le sort de ceux-ci sera réglé dans le cadre de l'indemnité stipulée sous art. 5 ch. 3. » En règle générale, lorsque le droit de procédure civile permet au plaideur de se faire dédommager de tous les frais nécessaires et indispensables qu'il a consacrés au procès, ce droit est seul applicable, et il ne laisse aucune place à une action civile séparée ou ultérieure qui serait fondée sur le droit civil fédéral (arrêt 4C.51/2000 du 7 août 2000, SJ 2001 I 153, consid. 3; Roland Brehm, in Commentaire bernois, 3e éd., 2006, n° 88 ad art. 41 CO ; voir aussi ATF 133 II 361 consid. 4.1 p. 363). Toutefois, cela concerne avant tout la responsabilité délictuelle; en matière de responsabilité contractuelle, compte tenu que selon l' art. 19 al. 1 CO , les cocontractants jouissent de la plus grande liberté dans l'organisation de leur relation juridique, cette règle doit céder le pas à la convention différente que ceux-ci ont éventuellement adoptée. En l'espèce, les parties ont explicitement, et sans ambiguïté, renvoyé les frais de l'action en exécution de la promesse de vente à une action civile ultérieure. Les demandeurs ont donc le droit de se faire dédommager non seulement de l'émolument de mise au rôle mais aussi de leurs frais d'avocat. Il incombe à la juridiction cantonale de constater ou d'évaluer le montant dû à ce titre; à cette fin, après annulation de la décision attaquée, la cause sera renvoyée à la Cour de justice.</w:t>
      </w:r>
    </w:p>
    <w:p>
      <w:r>
        <w:rPr>
          <w:b/>
        </w:rPr>
        <w:t>E. 5</w:t>
      </w:r>
    </w:p>
    <w:p>
      <w:r>
        <w:t>A teneur de l'art. 178 de la loi genevoise de procédure civile (LPC gen.), si les parties succombent respectivement sur un ou plusieurs chefs de la contestation, le juge décide si elles doivent se rembourser leurs dépens et, dans l'affirmative, dans quelle proportion. Invoquant l' art. 9 Cst. , les demandeurs se plaignent d'une application arbitraire de cette disposition - quoique leur écriture fasse référence à d'autres règles concernant les dépens - en tant que leur adverse partie doit assumer seulement un dixième des dépens de première instance et d'appel. Or, il n'est pas nécessaire de statuer sur ce grief car la Cour de justice devra de toute manière prendre une nouvelle décision et effectuer une nouvelle répartition des dépens.</w:t>
      </w:r>
    </w:p>
    <w:p>
      <w:r>
        <w:rPr>
          <w:b/>
        </w:rPr>
        <w:t>E. 6</w:t>
      </w:r>
    </w:p>
    <w:p>
      <w:r>
        <w:t>Compte tenu qu'aucune des parties n'obtient entièrement gain de cause, il y a lieu de répartir l'émolument judiciaire et de compenser partiellement les dépens de l'instance fédérale; il sera pris en considération que les demandeurs succombent sur la plus importante des prétentions qu'ils élevaient encore.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