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281/2022 vom 11. Oktober 2022</w:t>
      </w:r>
    </w:p>
    <w:p>
      <w:r>
        <w:t>Bundesgericht, 2022-10-11, FR</w:t>
      </w:r>
    </w:p>
    <w:p>
      <w:r>
        <w:rPr>
          <w:b/>
        </w:rPr>
        <w:t xml:space="preserve">Quelle: </w:t>
      </w:r>
      <w:r>
        <w:t>https://mcp.opencaselaw.ch/entscheid/bger_4A_281_2022</w:t>
      </w:r>
    </w:p>
    <w:p>
      <w:r>
        <w:t>FR: TF 4A 281/2022 du 11 octobre 2022</w:t>
      </w:r>
    </w:p>
    <w:p>
      <w:r>
        <w:t>IT: TF 4A 281/2022 del 11 ottobre 2022</w:t>
      </w:r>
    </w:p>
    <w:p>
      <w:pPr>
        <w:pStyle w:val="Heading2"/>
      </w:pPr>
      <w:r>
        <w:t>Regeste</w:t>
      </w:r>
    </w:p>
    <w:p>
      <w:r>
        <w:t>contrat de travail; recevabilité de l'appel; conclusions, | Droit des contrats</w:t>
      </w:r>
    </w:p>
    <w:p>
      <w:pPr>
        <w:pStyle w:val="Heading2"/>
      </w:pPr>
      <w:r>
        <w:t>Erwägungen</w:t>
      </w:r>
    </w:p>
    <w:p>
      <w:r>
        <w:rPr>
          <w:b/>
        </w:rPr>
        <w:t>E. 1.1</w:t>
      </w:r>
    </w:p>
    <w:p>
      <w:r>
        <w:t>L'arrêt attaqué déclare irrecevable l'appel que l'employé a interjeté à l'encontre d'une décision partielle. Par conséquent, il constitue lui aussi une décision partielle, laquelle peut et doit être immédiatement portée devant le Tribunal fédéral ( art. 91 let. a LTF ). Par ailleurs, les autres conditions de recevabilité du recours en matière civile sont réalisées sur le principe, notamment celles afférentes à la valeur litigieuse minimale de 15'000 fr. ( art. 74 al. 1 let. a LTF ) et au délai de recours ( art. 100 al. 1 LTF ). Partant, seul le recours en matière civile est ouvert, à l'exclusion du recours constitutionnel subsidiaire, lequel s'avère irrecevable ( art. 113 LTF ).</w:t>
      </w:r>
    </w:p>
    <w:p>
      <w:r>
        <w:rPr>
          <w:b/>
        </w:rPr>
        <w:t>E. 1.2</w:t>
      </w:r>
    </w:p>
    <w:p>
      <w:r>
        <w:t>Le mémoire de recours doit contenir des conclusions ( art. 42 al. 1 LTF ). En l'occurrence, la cour cantonale a rendu un arrêt d'irrecevabilité et ne s'est pas prononcée sur le bien-fondé de la décision de première instance. Contre un tel arrêt, seules les conclusions du recours tendant à l'annulation et au renvoi sont admissibles, à l'exclusion des conclusions sur le fond, lesquelles supposent que l'autorité précédente soit entrée en matière; en effet, s'il annule un arrêt d'irrecevabilité, le Tribunal fédéral ne statue pas lui-même sur le fond, mais renvoie la cause à l'autorité d'appel afin que le justiciable ne soit pas privé d'un degré de juridiction ( ATF 138 III 46 consid. 1.2). Dès lors, les conclusions portant sur le fond sont irrecevables.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3</w:t>
      </w:r>
    </w:p>
    <w:p>
      <w:r>
        <w:t>Le recourant dénonce une violation de l' art. 29 al. 1 Cst. , dans la mesure où les juges cantonaux auraient fait preuve de formalisme excessif en déclarant son appel irrecevable.</w:t>
      </w:r>
    </w:p>
    <w:p>
      <w:r>
        <w:rPr>
          <w:b/>
        </w:rPr>
        <w:t>E. 3.1</w:t>
      </w:r>
    </w:p>
    <w:p>
      <w:r>
        <w:t>A teneur de l' art. 311 al. 1 CPC , l'appel s'introduit par un acte " écritet motivé ". Selon la jurisprudence,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portant sur des prestations en argent doivent être chiffrées ( ATF 137 III 617 consid. 4.2 et 4.3; arrêt 4A_117/2022 du 8 avril 2022 consid. 2.1.2). L'irrecevabilité de conclusions d'appel ne satisfaisant pas à ces principes peut toutefois contrevenir au principe de l'interdiction du formalisme excessif ( art. 29 al. 1 Cst. ). A titre exceptionnel, l'autorité d'appel doit entrer en matière sur un appel comprenant des conclusions formellement déficientes s'il ressort clairement de la motivation, mise en relation avec la décision attaquée, ce que l'appelant demande ou - dans le cas de conclusions à chiffrer - quelle somme d'argent doit être allouée. Les conclusions doivent être interprétées à la lumière des motifs ( ATF 137 III 617 consid. 6.1 et 6.2; arrêt 4A_117/2022 précité consid. 2.1.2).</w:t>
      </w:r>
    </w:p>
    <w:p>
      <w:r>
        <w:rPr>
          <w:b/>
        </w:rPr>
        <w:t>E. 3.2</w:t>
      </w:r>
    </w:p>
    <w:p>
      <w:r>
        <w:t>En l'espèce, force est de constater, à l'instar de la cour cantonale, que les conclusions présentées par l'employé dans son appel n'étaient pas chiffrées et ne comprenaient aucune conclusion condamnatoire, formatrice ou en constat. Cela n'est pas contesté. Toutefois, la conclusion visant à ce que les conclusions 2 et 3 de sa demande déposée le 20 octobre 2020 soient admises renvoie clairement à cette demande. Cette dernière tendait notamment à ce que l'employeuse soit condamnée à verser à l'employé le montant de 8'000 fr. avec intérêts pour la résiliation injustifiée du contrat de travail (conclusion 2) et le montant de 8'000 fr. avec intérêts pour le non-respect du délai de résiliation du contrat de travail (conclusion 3). Il s'agit ici de toute évidence de conclusions chiffrées condamnatoires, formulées sans équivoque. Comme l'a souligné l'intéressé dans son recours, il avait d'ailleurs expressément rappelé, dans son appel, la teneur précise des conclusions 2 et 3 de sa demande. Au demeurant, le recourant relève à juste titre que le dispositif de la décision de première instance prévoyait lui-même que les " conclusions 2 et 3 de la demande " devaient être rejetées, pour autant que recevables. Le recourant fait encore valoir que dans son appel, il a contesté le point de vue du tribunal de première instance, lequel a tranché exclusivement les conclusions 2 et 3 de la demande. Ainsi, même si le recourant n'a pas formellement conclu, devant la cour cantonale, à la réforme de la décision attaquée en ce sens que l'employeuse soit condamnée à lui verser le montant de 8'000 fr., et un second montant de 8'000 fr., le tout avec intérêts, une telle requête ressortait clairement et sans équivoque des éléments précités. Dans ces circonstances, en déclarant l'appel irrecevable au motif de conclusions déficientes, la cour cantonale a fait preuve de formalisme excessif et a violé l' art. 29 Cst. Dès lors, la cause sera renvoyée à la cour cantonale afin qu'elle examine les autres conditions de recevabilité de l'appel et, le cas échéant, entre en matière sur celui-ci. Contrairement à ce que soutient l'intimée, le fait que le recourant a également évoqué dans son recours que la cour cantonale aurait dû vraisemblablement renvoyer la cause à l'autorité de première instance ne remet pas en cause ce qui précède.</w:t>
      </w:r>
    </w:p>
    <w:p>
      <w:r>
        <w:rPr>
          <w:b/>
        </w:rPr>
        <w:t>E. 4</w:t>
      </w:r>
    </w:p>
    <w:p>
      <w:r>
        <w:t>Au vu de l'issue du litige, il est superflu d'examiner les autres arguments soulevés par le recourant.</w:t>
      </w:r>
    </w:p>
    <w:p>
      <w:r>
        <w:rPr>
          <w:b/>
        </w:rPr>
        <w:t>E. 5</w:t>
      </w:r>
    </w:p>
    <w:p>
      <w:r>
        <w:t>En définitive, le recours constitutionnel subsidiaire est irrecevable. Le recours en matière civile, quant à lui, doit être admis. L'arrêt attaqué sera annulé et la cause renvoyée à la cour cantonale afin qu'elle rende une nouvelle décision dans le sens des considérants. Les frais judiciaires et les dépens seront mis à la charge de l'intimée, qui a conclu au rejet du recours et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