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4A_281/2007 vom 18. Oktober 2007</w:t>
      </w:r>
    </w:p>
    <w:p>
      <w:r>
        <w:t>Bundesgericht, 2007-10-18, FR</w:t>
      </w:r>
    </w:p>
    <w:p>
      <w:r>
        <w:rPr>
          <w:b/>
        </w:rPr>
        <w:t xml:space="preserve">Quelle: </w:t>
      </w:r>
      <w:r>
        <w:t>https://mcp.opencaselaw.ch/entscheid/bger_4A_281_2007</w:t>
      </w:r>
    </w:p>
    <w:p>
      <w:r>
        <w:t>FR: TF 4A_281/2007 du 18 octobre 2007</w:t>
      </w:r>
    </w:p>
    <w:p>
      <w:r>
        <w:t>IT: TF 4A_281/2007 del 18 ottobre 2007</w:t>
      </w:r>
    </w:p>
    <w:p>
      <w:pPr>
        <w:pStyle w:val="Heading2"/>
      </w:pPr>
      <w:r>
        <w:t>Erwägungen</w:t>
      </w:r>
    </w:p>
    <w:p>
      <w:r>
        <w:rPr>
          <w:b/>
        </w:rPr>
        <w:t>E. 1</w:t>
      </w:r>
    </w:p>
    <w:p>
      <w:r>
        <w:t>Comme l'arrêt attaqué a été rendu après l'entrée en vigueur, le 1er janvier 2007 (RO 2006 p. 1242), de la loi fédérale sur le Tribunal fédéral (LTF; RS 173.110), le recours est régi par le nouveau droit ( art. 132 al. 1 LTF ).</w:t>
      </w:r>
    </w:p>
    <w:p>
      <w:r>
        <w:rPr>
          <w:b/>
        </w:rPr>
        <w:t>E. 2</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 art. 100 al. 1 LTF ) et la forme ( art. 42 LTF ) prévus par la loi.</w:t>
      </w:r>
    </w:p>
    <w:p>
      <w:r>
        <w:rPr>
          <w:b/>
        </w:rPr>
        <w:t>E. 2.1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136 consid. 1.4). Aucun fait nouveau ni preuve nouvelle ne peut être présenté à moins de résulter de la décision de l'autorité précédente ( art. 99 al. 1 LTF ).</w:t>
      </w:r>
    </w:p>
    <w:p>
      <w:r>
        <w:rPr>
          <w:b/>
        </w:rPr>
        <w:t>E. 3</w:t>
      </w:r>
    </w:p>
    <w:p>
      <w:r>
        <w:t>Considéré à la lumière de ces règles et principes, le recours soumis à l'examen du Tribunal fédéral laisse fortement à désirer à tel point que sa recevabilité même est déjà sujette à caution.</w:t>
      </w:r>
    </w:p>
    <w:p>
      <w:r>
        <w:t>A plusieurs endroits de son mémoire, en particulier sous ch. 39, le recourant s'en prend à "L'arrêt du Tribunal de Prud'Hommes". En attaquant ainsi le jugement rendu par la juridiction de première instance, il formule des griefs qui ne visent pas la décision mettant fin à la procédure et qui sont, partant, irrecevables (cf. art. 90 LTF ).</w:t>
      </w:r>
    </w:p>
    <w:p>
      <w:r>
        <w:t>La même sanction s'attache à la tentative du recourant de présenter sa propre version des faits pertinents, sans égard aux constatations figurant dans l'arrêt attaqué. Contrairement à ce que semble croire l'intéressé, il ne suffit pas d'écrire, à maintes reprises, que la cour cantonale "indique à tort" ceci ou cela pour démontrer le caractère insoutenable, et donc arbitraire, des constatations de fait incriminées (cf., p. ex., les ch. 34, 35, 40, 41 et 42 du mémoire de recours).</w:t>
      </w:r>
    </w:p>
    <w:p>
      <w:r>
        <w:rPr>
          <w:b/>
        </w:rPr>
        <w:t>E. 4.1</w:t>
      </w:r>
    </w:p>
    <w:p>
      <w:r>
        <w:t>Sous ch. 36 de son mémoire, le recourant déplore le fait que la cour cantonale n'ait pas entendu le dénommé B.________, dont il avait requis l'audition. Cependant, il n'indique pas quelle disposition du droit fédéral, au sens de l' art. 95 let. a LTF , les juges précédents auraient méconnue en ne donnant pas suite à sa requête. Le recourant ne critique pas davantage les deux motifs indépendants, tirés du droit de procédure civile vaudois, que la Chambre des recours énonce dans son arrêt pour justifier le rejet de la requête visant à l'audition de cette personne. Par conséquent, le grief formulé de ce chef par le recourant est irrecevable.</w:t>
      </w:r>
    </w:p>
    <w:p>
      <w:r>
        <w:rPr>
          <w:b/>
        </w:rPr>
        <w:t>E. 4.2</w:t>
      </w:r>
    </w:p>
    <w:p>
      <w:r>
        <w:t>Au considérant 3 de son arrêt, la cour cantonale indique les raisons pour lesquelles elle a accepté de verser au dossier les pièces nouvelles produites par le demandeur à l'appui de son recours. Elle explique, notamment, que "l'ensemble des pièces produites avec le recours n'amène ... rien de déterminant pour le sort de la cause".</w:t>
      </w:r>
    </w:p>
    <w:p>
      <w:r>
        <w:t>Le recourant s'en prend à cette phrase (ch. 37), mais sans indiquer à quel titre il le fait ni de quelle disposition du droit fédéral il entend se prévaloir. Le moyen qu'il soulève est, dès lors, irrecevable.</w:t>
      </w:r>
    </w:p>
    <w:p>
      <w:r>
        <w:rPr>
          <w:b/>
        </w:rPr>
        <w:t>E. 4.3</w:t>
      </w:r>
    </w:p>
    <w:p>
      <w:r>
        <w:t>La même remarque et la même sanction s'appliquent au grief relatif au prétendu retard du Tribunal de prud'hommes à motiver son jugement (ch. 38).</w:t>
      </w:r>
    </w:p>
    <w:p>
      <w:r>
        <w:rPr>
          <w:b/>
        </w:rPr>
        <w:t>E. 4.4</w:t>
      </w:r>
    </w:p>
    <w:p>
      <w:r>
        <w:t>Le recourant reproche, par ailleurs, à l'autorité précédente de n'avoir pas reconnu que le Tribunal de prud'hommes avait fait preuve de partialité à son endroit. A l'en croire, en effet, les juges de première instance auraient inventé des faits inexistants pour les utiliser contre lui et délibérément interprété des faits en sa défaveur (ch. 39).</w:t>
      </w:r>
    </w:p>
    <w:p>
      <w:r>
        <w:t>On cherche en vain, une fois de plus, l'indication, par le recourant, de la règle de droit que les juges cantonaux auraient violée. Ceux-ci ont du reste constaté principalement l'irrecevabilité du grief qui leur avait été soumis de ce chef, au motif qu'il aurait dû l'être par la voie du recours en nullité alors que le recours sur lequel ils étaient appelés à statuer tendait uniquement à la réforme du jugement de première instance. La Chambre des recours a considéré avec raison, dans une argumentation subsidiaire, qu'en se bornant à critiquer la présentation des faits retenue dans ledit jugement, dès qu'elle lui était défavorable, le recourant n'était pas en mesure d'établir objectivement une prévention des premiers juges à son encontre. Les accusations gratuites formulées dans le présent recours envers ces magistrats n'y changent rien.</w:t>
      </w:r>
    </w:p>
    <w:p>
      <w:r>
        <w:rPr>
          <w:b/>
        </w:rPr>
        <w:t>E. 4.5</w:t>
      </w:r>
    </w:p>
    <w:p>
      <w:r>
        <w:t>Sous ch. 40 à 42 de son mémoire, le recourant soutient que la cour cantonale a eu tort de considérer qu'il avait adopté "une attitude négative répétée" face à ses conditions de travail et à l'égard de ses supérieurs, qu'il n'était parfois "pas tendre" envers la compagnie et ses cadres, et que ses propres courriers révèlent une "intégration difficile". Comme on l'a déjà souligné (cf. consid. 3), argumenter ainsi n'est pas formuler un grief recevable en rapport avec la constatation des faits. Quoi qu'il en soit, les constatations incriminées n'apparaissent en tout cas pas insoutenables sur le vu des pièces et/ou du témoignage qui les étayent.</w:t>
      </w:r>
    </w:p>
    <w:p>
      <w:r>
        <w:rPr>
          <w:b/>
        </w:rPr>
        <w:t>E. 5</w:t>
      </w:r>
    </w:p>
    <w:p>
      <w:r>
        <w:t>Sur le fond, le recourant reproche à la cour cantonale de n'avoir pas retenu le caractère abusif de son licenciement, alors qu'il existait manifestement un rapport de cause à effet entre son refus de rembourser des commissions perçues par d'autres collaborateurs et le congé litigieux, l'intimée n'ayant du reste fourni aucune preuve à l'appui de ses allégations touchant le motif de ce congé.</w:t>
      </w:r>
    </w:p>
    <w:p>
      <w:r>
        <w:rPr>
          <w:b/>
        </w:rPr>
        <w:t>E. 5.1</w:t>
      </w:r>
    </w:p>
    <w:p>
      <w:r>
        <w:t>Aux termes de l' art. 336 al. 1 let . d CO, le congé est abusif lorsqu'il est donné par une partie parce que l'autre partie fait valoir de bonne foi des prétentions résultant du contrat de travail. Cette disposition vise le congé-représailles.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qu'il y ait un rapport de causalité entre les prétentions émises et le congé signifié au travailleur. L'incidence respective des divers motifs de résiliation en concours est une question qui relève de la causalité naturelle, de sorte que les constatations faites sur ce point lient le Tribunal fédéral ( art. 105 al. 1 LTF ). Il en va de même de celles ayant trait aux motifs de congé retenus (cf. arrêt 4C.262/2003 du 4 novembre 2003, consid. 3.1 avec de nombreuses références).</w:t>
      </w:r>
    </w:p>
    <w:p>
      <w:r>
        <w:t>En application de l' art. 8 CC ,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(arrêt précité, consid. 3.2 et les références).</w:t>
      </w:r>
    </w:p>
    <w:p>
      <w:r>
        <w:rPr>
          <w:b/>
        </w:rPr>
        <w:t>E. 5.2</w:t>
      </w:r>
    </w:p>
    <w:p>
      <w:r>
        <w:t>Dans un premier moyen, le recourant fait grief aux juges précédents d'avoir violé l' art. 8 CC en ne tirant aucune conséquence du fait que l'intimée n'avait fourni aucune preuve à l'appui de ses dires relatifs au motif du congé litigieux. Il a tort. En effet, au considérant 6 c) de son arrêt, la Chambre des recours retient que le contrat de travail a été résilié en raison de l'attitude négative répétée du recourant face aux conditions de travail et à l'égard de ses supérieurs, ce qui a empêché son intégration au sein de l'agence. Or, selon la jurisprudence, lorsque l'appréciation des preuves convainc le juge de la réalité ou de l'inexistence d'un fait, la question de la répartition du fardeau de la preuve ne se pose plus ( ATF 129 III 271 consid. 2b/aa in fine). Tel est le cas en l'espèce. La cour cantonale a constaté le motif réel du licenciement, sans que le recourant ne réussisse à établir le caractère arbitraire de cette constatation. Aussi ne saurait-elle se voir imputer une violation de l' art. 8 CC .</w:t>
      </w:r>
    </w:p>
    <w:p>
      <w:r>
        <w:t>En tant qu'il soutient, par ailleurs, que son congé lui a été signifié parce qu'il avait contesté le système des ristournes de commissions, le recourant fait fi de la constatation contraire des juges cantonaux, pour qui "il n'est nullement établi que le motif du congé serait lié à la mise en cause du système de ristournes...", si bien que l'on ne peut pas considérer "que la question des ristournes ait été le motif déterminant du congé" (arrêt attaqué, consid. 6 d) p. 14). Cette constatation, dont l'arbitraire n'a pas été démontré, prive de tout fondement le moyen tiré du congé-représailles. C'est le lieu d'observer, pour réfuter un argument du recourant, que le fait qu'il ait reçu des décomptes de ristournes de commissions plus de six mois après son départ n'est pas incompatible avec la constatation voulant que la question des ristournes avait apparemment été réglée le 9 février 2006, c'est-à-dire avant son licenciement. En effet, la cour cantonale ne retient pas que ce règlement consistait dans la renonciation par l'employeur à appliquer le système litigieux au recourant et l'on peut tout aussi bien envisager que celui-là ait réussi à convaincre celui-ci de consentir néanmoins à l'application de ce système. Dans ces conditions, il n'est pas nécessaire d'examiner la validité juridique du système critiqué, comme le voudrait le recourant.</w:t>
      </w:r>
    </w:p>
    <w:p>
      <w:r>
        <w:t>Pour le surplus, la Chambre des recours met en évidence, à bon droit, le fait que le congé ordinaire a été signifié au recourant alors qu'il se trouvait encore dans le temps d'essai. Ainsi qu'elle le souligne à juste titre, savoir si la protection légale contre les congés abusifs vaut aussi pour le temps d'essai est une question controversée et non encore résolue par la jurisprudence fédérale (cf. l'arrêt 4C.272/1993 du 6 janvier 1994 et les auteurs cités); cependant, à supposer que ce soit le cas, il conviendrait alors de faire preuve d'une plus grande retenue avant de taxer d'abusif un congé signifié durant une telle période, le but du temps d'essai étant de fournir aux parties l'occasion de préparer l'établissement de rapports de travail destinés à durer, en leur permettant d'éprouver leurs relations de confiance, de déterminer si elles se conviennent mutuellement et de réfléchir avant de s'engager pour une longue période ( ATF 124 V 246 consid. 3b p. 249 et les auteurs cités). Conformément à ces principes, la Chambre des recours n'a pas violé le droit fédéral en admettant que les rapports de travail noués par les parties sous des auspices aussi peu favorables n'avaient guère de chance de s'épanouir, de sorte que l'employeur, qui n'était pas responsable de cet état de choses, pouvait refuser de les poursuivre sans abuser de son droit de résiliation.</w:t>
      </w:r>
    </w:p>
    <w:p>
      <w:r>
        <w:rPr>
          <w:b/>
        </w:rPr>
        <w:t>E. 6</w:t>
      </w:r>
    </w:p>
    <w:p>
      <w:r>
        <w:t>Cela étant, il y a lieu de rejeter le recours dans la faible mesure où il est recevable. Comme la valeur du présent litige résultant des rapports de travail ne dépasse pas 30'000 fr., l'émolument judiciaire, qui devra être mis à la charge du recourant ( art. 66 al. 1 LTF ), sera fixé entre 200 et 1'000 fr. en application de l' art. 65 al. 4 let . c LTF. Enfin, du moment que l'intimée n'a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