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27/2014 vom 22. April 2014</w:t>
      </w:r>
    </w:p>
    <w:p>
      <w:r>
        <w:t>Bundesgericht, 2014-04-22, DE</w:t>
      </w:r>
    </w:p>
    <w:p>
      <w:r>
        <w:rPr>
          <w:b/>
        </w:rPr>
        <w:t xml:space="preserve">Quelle: </w:t>
      </w:r>
      <w:r>
        <w:t>https://mcp.opencaselaw.ch/entscheid/bger_4A_27_2014</w:t>
      </w:r>
    </w:p>
    <w:p>
      <w:r>
        <w:t>FR: TF 4A 27/2014 du 22 avril 2014</w:t>
      </w:r>
    </w:p>
    <w:p>
      <w:r>
        <w:t>IT: TF 4A 27/2014 del 22 aprile 2014</w:t>
      </w:r>
    </w:p>
    <w:p>
      <w:pPr>
        <w:pStyle w:val="Heading2"/>
      </w:pPr>
      <w:r>
        <w:t>Regeste</w:t>
      </w:r>
    </w:p>
    <w:p>
      <w:r>
        <w:t>Arbeitsvertrag | Vertragsrecht</w:t>
      </w:r>
    </w:p>
    <w:p>
      <w:pPr>
        <w:pStyle w:val="Heading2"/>
      </w:pPr>
      <w:r>
        <w:t>Erwägungen</w:t>
      </w:r>
    </w:p>
    <w:p>
      <w:r>
        <w:rPr>
          <w:b/>
        </w:rPr>
        <w:t>E. 1.1</w:t>
      </w:r>
    </w:p>
    <w:p>
      <w:r>
        <w:t>Das angefochtene Urteil vom 4. Dezember 2013 ist ein Endurteil ( Art. 90 BGG ) in einer Zivilsache ( Art. 72 BGG ), das eine obere kantonale Instanz auf ein Rechtsmittel hin ( Art. 75 BGG ) erlassen hat. Die mit ihren Anträgen im Wesentlichen unterlegene Beschwerdeführerin ( Art. 76 BGG ) hat das ihr frühestens am 5. Dezember 2013 zugestellte Urteil unter Berücksichtigung der Gerichtsferien ( Art. 46 Abs. 1 lit. c BGG ) fristgerecht angefochten und der Streitwert ( Art. 74 Abs. 1 lit. a BGG ) ist erreicht. Insofern ist die Beschwerde zulässig.</w:t>
      </w:r>
    </w:p>
    <w:p>
      <w:r>
        <w:rPr>
          <w:b/>
        </w:rPr>
        <w:t>E. 1.2</w:t>
      </w:r>
    </w:p>
    <w:p>
      <w:r>
        <w:t>Nach Art. 99 Abs. 2 BGG sind neue Begehren unzulässig. Die Beklagte hat zwar vor der Vorinstanz in ihren Eventualanträgen höhere Beträge verlangt. Sie hat jedoch auch diese im Sinne einer Teilklage und unter Vorbehalt des Nachklagerechts beantragt. Sie hat somit ihre Begehren reduziert, was zulässig ist. Dagegen ist auf ihre Beschwerde von vorneherein nicht einzutreten, soweit sie neue Tatsachen enthält. Denn nach Art. 99 Abs. 1 BGG dürfen neue Tatsachen und Beweismittel nur so weit vorgebracht werden, als erst der Entscheid der Vorinstanz dazu Anlass gibt. Diese Voraussetzung ist hier nicht erfüllt.</w:t>
      </w:r>
    </w:p>
    <w:p>
      <w:r>
        <w:rPr>
          <w:b/>
        </w:rPr>
        <w:t>E. 1.3</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"Offensichtlich unrichtig" bedeutet dabei "willkürlich" ( BGE 135 III 397 E. 1.5). Willkürlich ist ein Entscheid nach konstanter Praxis nicht schon dann, wenn eine andere Lösung ebenfalls als vertretbar oder gar zutreffender erscheint. Willkür in der Rechtsanwendung liegt nur vor, wenn der angefochtene Entscheid offensichtlich unhaltbar ist, mit der tatsächlichen Situation in klarem Widerspruch steht, eine Norm oder einen unumstrittenen Rechtsgrundsatz krass verletzt oder in stossender Weise dem Gerechtigkeitsgedanken zuwiderläuft; dabei ist erforderlich, dass der Entscheid nicht nur in der Begründung, sondern auch im Ergebnis willkürlich ist ( BGE 135 V 2 E. 1.3 S. 4 f.; 134 II 124 E. 4.1 S. 133; 132 III 209 E. 2.1 S. 211; je mit Hinweisen). Die beschwerdeführende Partei hat nach Art. 42 Abs. 2 BGG in Auseinandersetzung mit den Erwägungen des angefochtenen Entscheids aufzuzeigen, inwiefern die vorinstanzliche Sachverhaltsfeststellung willkürlich sein soll ( Art. 106 Abs. 2 BGG ). Wird der Vorinstanz vorgeworfen, sie habe bestimmte Tatsachen unbeachtet gelassen, ist in der Beschwerde ausserdem aufzuzeigen und mit Aktenhinweisen zu belegen, dass entsprechende Vorbringen schon im kantonalen Verfahren behauptet und zum Beweis verstellt worden sind (Urteile 4A_214/2008 vom 9. Juli 2008 E. 1.2, nicht publ. in: BGE 134 III 570 ; 4A_470/2009 vom 18. Februar 2010 E. 1.2).</w:t>
      </w:r>
    </w:p>
    <w:p>
      <w:r>
        <w:rPr>
          <w:b/>
        </w:rPr>
        <w:t>E. 1.4</w:t>
      </w:r>
    </w:p>
    <w:p>
      <w:r>
        <w:t>Die Beklagte stellt den Sachverhalt ("unglaubliche Geschichte") zunächst aus ihrer Sicht dar und wirft der Vorinstanz vor, diese habe den Streitstoff nicht von Amtes wegen ermittelt. Sie verkennt damit, dass die Parteien selbst bei Geltung des sozialen (beschränkten) Untersuchungsgrundsatzes bei der Feststellung des rechtserheblichen Sachverhalts aktiv mitzuwirken haben, d.h. wie unter der Geltung des Verhandlungsgrundsatzes die Last tragen, die relevanten Tatsachenbehauptungen aufzustellen, zu bestreiten und nötigenfalls zu substanziieren (vgl. statt aller CHRISTOPH HURNI, in: Berner Kommentar, 2012, N. 64 zu Art. 55 ZPO ). Die Vorinstanz hat daher zu Recht von der Beklagten verlangt, dass sie die behaupteten Pflichtverletzungen der Klägerin behaupte und substanziiere.</w:t>
      </w:r>
    </w:p>
    <w:p>
      <w:r>
        <w:rPr>
          <w:b/>
        </w:rPr>
        <w:t>E. 1.5</w:t>
      </w:r>
    </w:p>
    <w:p>
      <w:r>
        <w:t>Mit ihren Willkürrügen geht die Beklagte zum Teil auf die Begründung der Vorinstanz nicht ein: - die Rückforderung der Autokosten wird ihr im angefochtenen Entscheid verwehrt, weil sie diese monatelang bezahlt und damit die Klägerin im Glauben gelassen hat, dies sei so vereinbart; - die Anfechtung wegen Täuschung ("Duo A.________/Z.________") wird ihr im angefochtenen Entscheid verwehrt, weil sie keine entsprechende Erklärung abgegeben und die Einhaltung der Frist nicht nachgewiesen hat; - das "Nachschieben von Kündigungsgründen" wird ihr im angefochtenen Entscheid verwehrt, weil sie keine fristlose Kündigung erklärt hatte. Die Willkürrügen der Beklagten lassen sodann zum Teil jeden Hinweis auf die kantonalen Akten zum Beleg vermissen, dass sie entsprechende Behauptungen aufgestellt hatte über eine angebliche Konkurrenztätigkeit (Beschwerde S. 4), über den Zeitpunkt der Kenntnis der Täuschung (Beschwerde S. 4), über die Gründe für eine Unzumutbarkeit der Anfechtung (Beschwerde S. 4 f.). Inwiefern schliesslich die Aussagen von Z.________ willkürlich gewürdigt worden sein sollen, ist nicht ansatzweise begründet.</w:t>
      </w:r>
    </w:p>
    <w:p>
      <w:r>
        <w:rPr>
          <w:b/>
        </w:rPr>
        <w:t>E. 2</w:t>
      </w:r>
    </w:p>
    <w:p>
      <w:r>
        <w:t>Soweit die Beklagte sinngemäss Rechtsverletzungen rügt, kann ihr nicht gefolgt werden. Die Vorinstanz hat zutreffend erwogen, dass mit der Kündigung eines Vertrages bestätigt wird, dass er geschlossen wurde, sie hat zutreffend erkannt, dass Provisionen Lohnbestandteil bilden und sie hat das Rechtsverhältnis zwischen den Parteien aufgrund der verbindlich festgestellten Tatsachen zutreffend als Arbeitsvertrag qualifiziert.</w:t>
      </w:r>
    </w:p>
    <w:p>
      <w:r>
        <w:rPr>
          <w:b/>
        </w:rPr>
        <w:t>E. 3</w:t>
      </w:r>
    </w:p>
    <w:p>
      <w:r>
        <w:t>Die Beschwerde ist materiell offensichtlich unbegründet, soweit sie den formellen Begründungsanforderungen überhaupt genügt; sie kann daher im Verfahren nach Art. 109 BGG erledigt werden. Dem Ausgang entsprechend ist die Gerichtsgebühr der Beschwerdeführerin zu auferlegen. Da keine Vernehmlassungen eingeholt wurden, ist der Beschwerdegegnerin dagegen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