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279/2022 vom 6. Juli 2022</w:t>
      </w:r>
    </w:p>
    <w:p>
      <w:r>
        <w:t>Bundesgericht, 2022-07-06, DE</w:t>
      </w:r>
    </w:p>
    <w:p>
      <w:r>
        <w:rPr>
          <w:b/>
        </w:rPr>
        <w:t xml:space="preserve">Quelle: </w:t>
      </w:r>
      <w:r>
        <w:t>https://mcp.opencaselaw.ch/entscheid/bger_4A_279_2022</w:t>
      </w:r>
    </w:p>
    <w:p>
      <w:r>
        <w:t>FR: TF 4A 279/2022 du 6 juillet 2022</w:t>
      </w:r>
    </w:p>
    <w:p>
      <w:r>
        <w:t>IT: TF 4A 279/2022 del 6 luglio 2022</w:t>
      </w:r>
    </w:p>
    <w:p>
      <w:pPr>
        <w:pStyle w:val="Heading2"/>
      </w:pPr>
      <w:r>
        <w:t>Regeste</w:t>
      </w:r>
    </w:p>
    <w:p>
      <w:r>
        <w:t>Honorarforderung, | Vertragsrecht</w:t>
      </w:r>
    </w:p>
    <w:p>
      <w:pPr>
        <w:pStyle w:val="Heading2"/>
      </w:pPr>
      <w:r>
        <w:t>Erwägungen</w:t>
      </w:r>
    </w:p>
    <w:p>
      <w:r>
        <w:rPr>
          <w:b/>
        </w:rPr>
        <w:t>E. 1</w:t>
      </w:r>
    </w:p>
    <w:p>
      <w:r>
        <w:t>Am 16. März 2017 reichte die A.________ GmbH (Klägerin, Beschwerdeführerin) beim Bezirksgericht Hochdorf eine Klage gegen B.________ und C.________ (zusammen: Beklagte, Beschwerdegegner) ein. Sie verlangte, die Beklagten seien zu verurteilen, ihr Fr. 71'341.-- für Architekturleistungen, Fr. 12'185.85 für Zusatzleistungen, Fr. 386.70 für Nebenkosten, Fr. 15'159.95 als Schadloshaltung sowie Fr. 306.60 zu bezahlen, je nebst Zins und unter Aufhebung entsprechender Rechtsvorschläge. Mit Urteil vom 23. März 2021 wies das Bezirksgericht Hochdorf die Klage ab. Die von der Klägerin dagegen erhobene Berufung hiess das Kantonsgericht Luzern mit Urteil vom 16. Mai 2022 teilweise gut. Es verurteilte die Beklagten, der Klägerin in solidarischer Haftbarkeit Fr. 12'185.85 nebst Zins zu bezahlen. In diesem Umfang beseitigte es den Rechtsvorschlag in der Betreibung Nr. xxx/BA X.________. Die Klägerin hat mit Eingabe vom 21. Juni 2022 beim Bundesgericht Beschwerde gegen dieses Urteil erhoben. Es wurden keine Vernehmlassungen eingeholt.</w:t>
      </w:r>
    </w:p>
    <w:p>
      <w:r>
        <w:rPr>
          <w:b/>
        </w:rPr>
        <w:t>E. 2</w:t>
      </w:r>
    </w:p>
    <w:p>
      <w:r>
        <w:t>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w:t>
      </w:r>
    </w:p>
    <w:p>
      <w:r>
        <w:t>Die Beschwerdeführerin schildert frei und in eigener Interpretation des (Prozess-) Sachverhalts ihre Sicht der Dinge, ohne in einer den eben dargestellten Begründungsanforderungen genügenden Weise und gestützt auf die vorinstanzlich festgestellten Tatsachen darzulegen, inwiefern das Kantonsgericht Recht verletzt haben sollte. Der wiederholte Hinweis auf BGE 119 II 40 ändert daran nichts. Gleiches gilt für die pauschalen Vorwürfe, das "frappant branchenunkundig[e]" Kantonsgericht habe in "schreiender Weise" gegen die Gerechtigkeit verstossen, der vorinstanzliche "Kommunikationsstandard" sei "leider relativ bescheiden" und es sei "so ziemlich katastrophal, es mit einem solchen Gericht zu tun zu haben". Die Beschwerde enthält offensichtlich keine hinreichende Begründung, weshalb im vereinfachten Verfahren nach Art. 108 Abs. 1 lit. b BGG nicht auf sie einzutreten ist.</w:t>
      </w:r>
    </w:p>
    <w:p>
      <w:r>
        <w:rPr>
          <w:b/>
        </w:rPr>
        <w:t>E. 4</w:t>
      </w:r>
    </w:p>
    <w:p>
      <w:r>
        <w:t>Bei diesem Ausgang des Verfahrens sind die Gerichtskosten gemäss Art. 66 Abs. 1 BGG der Beschwerdeführerin aufzuerlegen.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