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277/2013 vom 29. Juli 2013</w:t>
      </w:r>
    </w:p>
    <w:p>
      <w:r>
        <w:t>Bundesgericht, 2013-07-29, DE</w:t>
      </w:r>
    </w:p>
    <w:p>
      <w:r>
        <w:rPr>
          <w:b/>
        </w:rPr>
        <w:t xml:space="preserve">Quelle: </w:t>
      </w:r>
      <w:r>
        <w:t>https://mcp.opencaselaw.ch/entscheid/bger_4A_277_2013</w:t>
      </w:r>
    </w:p>
    <w:p>
      <w:r>
        <w:t>FR: TF 4A 277/2013 du 29 juillet 2013</w:t>
      </w:r>
    </w:p>
    <w:p>
      <w:r>
        <w:t>IT: TF 4A 277/2013 del 29 luglio 2013</w:t>
      </w:r>
    </w:p>
    <w:p>
      <w:pPr>
        <w:pStyle w:val="Heading2"/>
      </w:pPr>
      <w:r>
        <w:t>Regeste</w:t>
      </w:r>
    </w:p>
    <w:p>
      <w:r>
        <w:t>rechtsmissbräuchliche Eingaben | Register</w:t>
      </w:r>
    </w:p>
    <w:p>
      <w:pPr>
        <w:pStyle w:val="Heading2"/>
      </w:pPr>
      <w:r>
        <w:t>Volltext</w:t>
      </w:r>
    </w:p>
    <w:p>
      <w:r>
        <w:t>Bundesgericht I. zivilrechtliche Abteilung 29.07.2013 4A 277/2013 (4A_277/2013) Tribunal fédéral Ire Cour de droit civil 29.07.2013 4A 277/2013 (4A_277/2013) Tribunale federale I Corte di diritto civile 29.07.2013 4A 277/2013 (4A_277/2013)</w:t>
      </w:r>
    </w:p>
    <w:p>
      <w:r>
        <w:t>rechtsmissbräuchliche Eingaben | Register</w:t>
      </w:r>
    </w:p>
    <w:p>
      <w:r>
        <w:t>Bundesgericht Tribunal fédéral Tribunale federale Tribunal federal {T 0/2} 4A_277/2013 Urteil vom 29. Juli 2013 I. zivilrechtliche Abteilung Besetzung Bundesrichterin Klett, Präsidentin, Gerichtsschreiber Huguenin. Verfahrensbeteiligte X.________, Beschwerdeführer, gegen Y.________ AG , Beschwerdegegnerin. Gegenstand rechtsmissbräuchliche Eingaben, Beschwerde gegen den Entscheid des Präsidenten des Handelsgerichts des Kantons St. Gallen vom 23. April 2013. In Erwägung, dass vor dem Handelsgericht des Kantons St. Gallen verschiedene Verfahren durchgeführt wurden, an denen die Y.________ AG und deren früherer Verwaltungsrat X.________ beteiligt waren; dass X.________ dem Handelsgericht in diesem Zusammenhang eine vom 22. März und eine vom 15. April 2013 datierte Eingabe einreichte; dass der Präsident des Handelsgerichts am 23. April 2013 verfügte, dass die Eingaben des Beschwerdeführers nach Rechtskraft der Verfügung retourniert würden; dass der Präsident die Verfügung damit begründete, dass die Eingaben des Beschwerdeführers offensichtlich rechtsmissbräuchlich und querulatorisch seien und deshalb in Anwendung von Art. 132 Abs. 3 ZPO an diesen zurückgeschickt würden; dass der Beschwerdeführer dem Bundesgericht eine vom 21. Mai 2013 datierte Eingabe einreichte, in der er erklärte, die Verfügung des Handelsgerichtspräsidenten vom 23. April 2013 mit Beschwerde anzufechten; dass das Bundesgericht von Amtes wegen prüft, ob ein Rechtsmittel zulässig ist ( BGE 137 III 417 E. 1; 136 II 101 E. 1, 470 E. 1; 135 III 212 E. 1); dass gemäss Art. 132 Abs. 3 ZPO querulatorische und rechtsmissbräuchliche Eingaben ohne Weiteres zurückgeschickt werden, also ein Verfahren weder zu eröffnen noch weiterzuführen vermögen (Botschaft des Bundesrats vom 28. Juni 2006 zur Schweizerischen Zivilprozessordnung, BBI 2006 7221, S. 7306); dass die Verfügung des Präsidenten des Handelsgerichts somit keinen förmlichen Verfahrensakt bildet und folglich keinen mit Beschwerde beim Bundesgericht anfechtbaren Entscheid darstellt (Urteil des Bundesgerichts 4A_615/2012 vom 29. November 2012); dass gegen eine Verfügung, mit der eine querulatorische bzw. rechtsmissbräuchliche Eingabe gestützt auf Art. 132 Abs. 3 ZPO zurückgeschickt wird, lediglich die Rechtsverweigerungsbeschwerde zur Verfügung steht (vgl. Voten FLURI und WIDMER-SCHLUMPF, Amtl. Bull. NR 2008, S. 945); dass mit der Rechtsverweigerungsbeschwerde ( Art. 94 BGG ) die Verletzung von Art. 29 Abs. 1 BV geltend gemacht werden kann; dass die Verletzung verfassungsmässiger Rechte vom Bundesgericht nicht von Amtes wegen geprüft wird, sondern nur wenn solche Rügen in der Beschwerdeschrift ausdrücklich erhoben und begründet werden ( Art. 106 Abs. 2 BGG ); dass der Beschwerdeführer zwar mehrere Verfassungsnormen anführt (Art. 7, 20 Abs. 1, 27, 29 Abs. 3 BV sowie Art. 6 EMRK bzw. Art. 9 und 28 Abs. 1 BV ), dass er jedoch nicht begründet, inwiefern diese durch den angefochtenen Entscheid verletzt sein sollen; dass namentlich nicht begründet wird, inwiefern der Handelsgerichtspräsident die angeführten Verfassungsnormen verletzt haben könnte, indem er die Eingaben vom 22. März und 15. April 2013 als querulatorisch und rechtsmissbräuchlich im Sinne von Art. 132 Abs. 3 ZPO bewertete und an den Beschwerdeführer zurückschickte; dass im vereinfachten Verfahren von Art. 108 BGG zu entscheiden ist über Nichteintreten auf Beschwerden, die offensichtlich keine hinreichende Begründung enthalten (Abs. 1 lit. b); dass die Voraussetzungen von Art. 108 BGG vorliegend gegeben sind, weshalb auf die Beschwerde im vereinfachten Verfahren nicht einzutreten ist;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dem Beschwerdeführer aufzuerlegen sind ( Art. 66 Abs. 1 BGG ); erkennt die Präsidentin: 1. Auf die Beschwerde wird nicht eingetreten. 2. Das Gesuch um Gewährung der unentgeltlichen Rechtspflege wird abgewiesen. 3. Die Gerichtskosten von Fr. 500.-- werden dem Beschwerdeführer auferlegt. 4. Dieses Urteil wird den Parteien und dem Präsidenten des Handelsgerichts des Kantons St. Gallen schriftlich mitgeteilt. Lausanne, 29. Juli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