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4A_276/2015 vom 9. September 2015</w:t>
      </w:r>
    </w:p>
    <w:p>
      <w:r>
        <w:t>Bundesgericht, 2015-09-09, FR</w:t>
      </w:r>
    </w:p>
    <w:p>
      <w:r>
        <w:rPr>
          <w:b/>
        </w:rPr>
        <w:t xml:space="preserve">Quelle: </w:t>
      </w:r>
      <w:r>
        <w:t>https://mcp.opencaselaw.ch/entscheid/bger_4A_276_2015</w:t>
      </w:r>
    </w:p>
    <w:p>
      <w:r>
        <w:t>FR: TF 4A_276/2015 du 9 septembre 2015</w:t>
      </w:r>
    </w:p>
    <w:p>
      <w:r>
        <w:t>IT: TF 4A_276/2015 del 9 settembre 2015</w:t>
      </w:r>
    </w:p>
    <w:p>
      <w:pPr>
        <w:pStyle w:val="Heading2"/>
      </w:pPr>
      <w:r>
        <w:t>Erwägungen</w:t>
      </w:r>
    </w:p>
    <w:p>
      <w:r>
        <w:rPr>
          <w:b/>
        </w:rPr>
        <w:t>E. 1</w:t>
      </w:r>
    </w:p>
    <w:p>
      <w:r>
        <w:t>Les conditions de recevabilité du recours en matière civile sont en principe satisfaites, notamment à raison de la valeur litigieuse.</w:t>
      </w:r>
    </w:p>
    <w:p>
      <w:r>
        <w:t>Le recours est recevable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 et il ne se prononce sur la violation de droits fondamentaux que s'il se trouve saisi d'un grief invoqué et motivé de façon détaillée ( art. 106 al. 2 LTF ; ATF 138 I 171 consid. 1.4 p. 176; 134 I 83 consid. 3.2 p. 88; 134 II 244 consid. 2.2 p. 246).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137 I 58 consid. 4.1.2 p. 62; 133 II 249 consid. 1.1.2 p. 252).</w:t>
      </w:r>
    </w:p>
    <w:p>
      <w:r>
        <w:t>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140 III 264 consid. 2.3 p. 266; 136 II 489 consid. 2.8 p. 494).</w:t>
      </w:r>
    </w:p>
    <w:p>
      <w:r>
        <w:rPr>
          <w:b/>
        </w:rPr>
        <w:t>E. 2</w:t>
      </w:r>
    </w:p>
    <w:p>
      <w:r>
        <w:t>Il est constant que les parties se sont liées par un contrat de bail à ferme et que la défenderesse s'est obligée à acquitter un fermage au montant de 2'500 fr. par mois. Elle réclame la réduction de ce fermage en raison de défauts du bien affermé.</w:t>
      </w:r>
    </w:p>
    <w:p>
      <w:r>
        <w:t>Les conclusions qu'elle soumet au Tribunal fédéral portent sur la différence entre ce que le demandeur a obtenu en appel et le montant moins important précédemment obtenu en première instance, soit 22'500 francs. Cela correspond à la totalité du fermage, dont la demanderesse demande ainsi d'être entièrement exonérée.</w:t>
      </w:r>
    </w:p>
    <w:p>
      <w:r>
        <w:rPr>
          <w:b/>
        </w:rPr>
        <w:t>E. 3</w:t>
      </w:r>
    </w:p>
    <w:p>
      <w:r>
        <w:t>Aux termes de l' art. 258 al. 3 let. a CO , le locataire a le droit d'exiger une réduction proportionnelle du loyer selon les art. 259a al. 1 let. b et 259d CO si la chose louée lui est délivrée avec des défauts qui en restreignent l'usage. Par le renvoi de l' art. 288 let. a CO , les mêmes règles sont applicables en cas de défauts d'un bien affermé.</w:t>
      </w:r>
    </w:p>
    <w:p>
      <w:r>
        <w:t>La chose est défectueuse lorsqu'elle ne présente pas une qualité que le bailleur a promise, ou lorsqu'elle ne présente pas une qualité sur laquelle le locataire pouvait légitimement compter en considération de son droit de recevoir la chose dans un état approprié à l'usage convenu, droit consacré par l' art. 256 al. 1 CO . La réduction du loyer suppose que l'usage de la chose soit restreint de cinq pour cent au moins; une restriction de deux pour cent est toutefois suffisante s'il s'agit d'une atteinte permanente ( ATF 135 III 345 consid. 3.2 p. 347).</w:t>
      </w:r>
    </w:p>
    <w:p>
      <w:r>
        <w:rPr>
          <w:b/>
        </w:rPr>
        <w:t>E. 4</w:t>
      </w:r>
    </w:p>
    <w:p>
      <w:r>
        <w:t>En l'espèce, les défauts consistent en ceci que la commune de Salins n'avait pas délivré l'autorisation d'exploiter le café-restaurant, cette autorisation étant subordonnée à des travaux que le demandeur devait encore exécuter; que la cave n'était pas utilisable pour le stockage des denrées alimentaires et des boissons, et que le fourneau était « vétuste ».</w:t>
      </w:r>
    </w:p>
    <w:p>
      <w:r>
        <w:t>L'autorité d'appel n'a pas constaté que ces défauts, soit isolément, soit dans leur cumul, aient entraîné une quelconque restriction, même minime, dans l'exploitation du café-restaurant. Elle a au contraire constaté que pour le stockage des denrées alimentaires et des boissons, l'établissement était doté de locaux et installations autres que la cave et pleinement suffisants. Elle a aussi constaté que le fourneau pouvait être utilisé. Il ne ressort pas non plus de son jugement que la défenderesse se soit trouvée - même temporairement ou partiellement - empêchée d'exploiter l'établissement parce que l'autorisation communale n'avait pas été délivrée.</w:t>
      </w:r>
    </w:p>
    <w:p>
      <w:r>
        <w:t>Au regard de l' art. 105 al. 1 LTF , ces points de fait échappent au contrôle du Tribunal fédéral. La défenderesse revient longuement sur l'appréciation des preuves et des indices que l'autorité d'appel a discutés. En tant que cette partie se plaint d'arbitraire, le tribunal ne discerne guère sur quels points elle reproche réellement à l'autorité, sinon par de simples protestations ou dénégations, d'avoir commis une erreur certaine ou de s'être livrée à une appréciation absolument insoutenable des preuves disponibles. L'argumentation présentée tend seulement à substituer une appréciation différente de celle de l'autorité précédente; elle est par conséquent irrecevable au regard de cette disposition légale et de la jurisprudence déjà citée relative à l' art. 97 al. 1 LTF .</w:t>
      </w:r>
    </w:p>
    <w:p>
      <w:r>
        <w:t>La défenderesse se plaint aussi à tort d'une motivation prétendument insuffisante du jugement d'appel.</w:t>
      </w:r>
    </w:p>
    <w:p>
      <w:r>
        <w:t>Pour le surplus, l'autorité d'appel a dûment refusé toute réduction du fermage compte tenu que l'une des conditions dont cette réduction dépend d'après la loi - une restriction de l'usage ou de l'exploitation - ne s'est pas accomplie. Il s'ensuit que le recours en matière civile doit être rejeté, dans la mesure où les griefs présentés sont recevables.</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la défenderesse doit acquitter l'émolument à percevoir par le Tribunal fédéral et les dépens auxquels l'autre partie peut prétendre.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