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276/2013 vom 13. Januar 2014</w:t>
      </w:r>
    </w:p>
    <w:p>
      <w:r>
        <w:t>Bundesgericht, 2014-01-13, DE</w:t>
      </w:r>
    </w:p>
    <w:p>
      <w:r>
        <w:rPr>
          <w:b/>
        </w:rPr>
        <w:t xml:space="preserve">Quelle: </w:t>
      </w:r>
      <w:r>
        <w:t>https://mcp.opencaselaw.ch/entscheid/bger_4A_276_2013</w:t>
      </w:r>
    </w:p>
    <w:p>
      <w:r>
        <w:t>FR: TF 4A 276/2013 du 13 janvier 2014</w:t>
      </w:r>
    </w:p>
    <w:p>
      <w:r>
        <w:t>IT: TF 4A 276/2013 del 13 gennaio 2014</w:t>
      </w:r>
    </w:p>
    <w:p>
      <w:pPr>
        <w:pStyle w:val="Heading2"/>
      </w:pPr>
      <w:r>
        <w:t>Regeste</w:t>
      </w:r>
    </w:p>
    <w:p>
      <w:r>
        <w:t>Mietvertrag; Nebenkosten | Vertragsrecht</w:t>
      </w:r>
    </w:p>
    <w:p>
      <w:pPr>
        <w:pStyle w:val="Heading2"/>
      </w:pPr>
      <w:r>
        <w:t>Erwägungen</w:t>
      </w:r>
    </w:p>
    <w:p>
      <w:r>
        <w:rPr>
          <w:b/>
        </w:rPr>
        <w:t>E. 1</w:t>
      </w:r>
    </w:p>
    <w:p>
      <w:r>
        <w:t>Das Bundesgericht prüft von Amtes wegen und mit freier Kognition, ob ein Rechtsmittel zulässig ist ( BGE 139 III 249 E. 1 S. 250; 139 III E. 1; 137 III 417 E. 1).</w:t>
      </w:r>
    </w:p>
    <w:p>
      <w:r>
        <w:rPr>
          <w:b/>
        </w:rPr>
        <w:t>E. 1.1</w:t>
      </w:r>
    </w:p>
    <w:p>
      <w:r>
        <w:t>Soweit sich die Beschwerde gegen das Urteil des Bezirksgerichts richtet, kann darauf mangels Letztinstanzlichkeit zum Vornherein nicht eingetreten werden ( Art. 75 Abs. 1 BGG ).</w:t>
      </w:r>
    </w:p>
    <w:p>
      <w:r>
        <w:rPr>
          <w:b/>
        </w:rPr>
        <w:t>E. 1.2</w:t>
      </w:r>
    </w:p>
    <w:p>
      <w:r>
        <w:t>Soweit der Beschwerdeführer den Beschluss des Kantonsgerichts anficht, richtet sich die Beschwerde gegen einen verfahrensabschliessenden Rechtsmittelentscheid eines oberen kantonalen Gerichts (Art. 113, Art. 114 i.V.m. Art. 75 BGG ) und ist innert der Beschwerdefrist (Art. 117 i.V.m. Art. 100 BGG ) von der mit ihren Rechtsbegehren unterlegenen Partei ( Art. 115 BGG ) eingereicht worden.</w:t>
      </w:r>
    </w:p>
    <w:p>
      <w:r>
        <w:rPr>
          <w:b/>
        </w:rPr>
        <w:t>E. 1.3</w:t>
      </w:r>
    </w:p>
    <w:p>
      <w:r>
        <w:t>Bei der Streitsache handelt es sich um eine (mietrechtliche) Zivilsache mit einem Streitwert von weniger als Fr. 15'000.--. Mithin kann die Rechtsmitteleingabe als Beschwerde in Zivilsachen nur dann entgegengenommen werden, wenn sich eine Rechtsfrage von grundsätzlicher Bedeutung stellt ( Art. 74 Abs. 1 lit. a BGG e contrario i.V.m. Art. 74 Abs. 2 lit. a BGG ). Dieser Begriff ist sehr restriktiv auszulegen ( BGE 137 III 580 E. 1.1 S. 582; 135 III 397 E. 1.2 S. 399; 133 III 493 E. 1.1 S. 495). Die Voraussetzung von Art. 74 Abs. 2 lit. a BGG ist erfüllt, wenn ein allgemeines und dringendes Interesse besteht, dass eine umstrittene Frage höchstrichterlich geklärt wird, um eine einheitliche Anwendung und Auslegung des Bundesrechts herbeizuführen und damit eine erhebliche Rechtsunsicherheit auszuräumen ( BGE 139 III 182 E. 1.2 S. 185, 209 E. 1.2 S. 210 ; 138 I 232 E. 2.3; 137 III 580 E. 1.1 S. 582; je mit Hinweisen). Ist eine Beschwerde nur unter der Voraussetzung zulässig, dass sich eine Rechtsfrage von grundsätzlicher Bedeutung stellt, ist in der Beschwerdeschrift auszuführen, warum diese Voraussetzung erfüllt ist ( Art. 42 Abs. 2 BGG ), ansonsten die Beschwerde in Zivilsachen unzulässig ist (vgl. BGE 136 II 489 E. 2.6 S. 494; 135 III 1 E. 1.3 S. 5; 133 III 439 E. 2.2.2.1, 645 E. 2.4 S. 648). Dergleichen enthält die Rechtsmitteleingabe nicht. In Ermangelung einer rechtsgenügenden Begründung ( Art. 42 Abs. 2 und Art. 106 Abs. 2 BGG ) kann die Rechtsmitteleingabe mithin nicht als Beschwerde in Zivilsachen entgegengenommen werden und ist in der Folge als subsidiäre Verfassungsbeschwerde ( Art. 113 ff. BGG ) zu behandeln.</w:t>
      </w:r>
    </w:p>
    <w:p>
      <w:r>
        <w:rPr>
          <w:b/>
        </w:rPr>
        <w:t>E. 1.4</w:t>
      </w:r>
    </w:p>
    <w:p>
      <w:r>
        <w:t>Mit der Verfassungsbeschwerde kann nur die Verletzung von verfassungsmässigen Rechten gerügt werden ( Art. 116 BGG ).</w:t>
      </w:r>
    </w:p>
    <w:p>
      <w:r>
        <w:rPr>
          <w:b/>
        </w:rPr>
        <w:t>E. 1.4.1</w:t>
      </w:r>
    </w:p>
    <w:p>
      <w:r>
        <w:t>In seiner Rechtsmitteleingabe rügt der Beschwerdeführer in verschiedener Hinsicht, der angefochtene Entscheid sei willkürlich bzw. verletze seinen Anspruch auf rechtliches Gehör. Wer eine Verletzung des Willkürverbots ( Art. 9 BV ) geltend macht, darf sich nicht darauf beschränken, einfach zu behaupten, der angefochtene Entscheid sei willkürlich. Er hat vielmehr im Einzelnen zu zeigen, inwiefern der angefochtene Entscheid offensichtlich unhaltbar ist ( BGE 134 II 349 E. 3 S. 352 ; 133 I 1 E. 5.5 S. 5). Überdies hat der Beschwerdeführer darzutun, inwiefern die Behebung des gerügten Mangels für den Ausgang des Verfahrens entscheidend sein kann, und dies auch, wenn im Zusammenhang mit einer Sachverhaltsrüge eine Verletzung des rechtlichen Gehörs geltend gemacht wird, wobei glaubhaft zu machen ist, dass bei korrekter Vorgehensweise der Entscheid anders hätte ausfallen müssen ( BGE 137 II 122 E. 3.4 S. 125). Die Rechtsmitteleingabe enthält keine Verfassungsrüge, welche diesen Vorgaben genügt. Der Beschwerdeführer unterlässt es durchwegs, im Einzelnen aufzuzeigen, inwiefern der Entscheid bei seiner Ansicht nach verfassungskonformem Vorgehen anders hätte ausfallen müssen. Mithin kann auf die Rechtsmitteleingabe als subsidiäre Verfassungsbeschwerde nicht eingetreten werden.</w:t>
      </w:r>
    </w:p>
    <w:p>
      <w:r>
        <w:rPr>
          <w:b/>
        </w:rPr>
        <w:t>E. 1.5</w:t>
      </w:r>
    </w:p>
    <w:p>
      <w:r>
        <w:t>Zusammenfassend kann auf die Rechtsmitteleingabe weder als Beschwerde in Zivilsachen noch als subsidiäre Verfassungsbeschwerde eingetreten werden.</w:t>
      </w:r>
    </w:p>
    <w:p>
      <w:r>
        <w:rPr>
          <w:b/>
        </w:rPr>
        <w:t>E. 2</w:t>
      </w:r>
    </w:p>
    <w:p>
      <w:r>
        <w:t>Diesem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