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4A_275/2024 vom 11. Juni 2024</w:t>
      </w:r>
    </w:p>
    <w:p>
      <w:r>
        <w:t>Bundesgericht, 2024-06-11, DE</w:t>
      </w:r>
    </w:p>
    <w:p>
      <w:r>
        <w:rPr>
          <w:b/>
        </w:rPr>
        <w:t xml:space="preserve">Quelle: </w:t>
      </w:r>
      <w:r>
        <w:t>https://mcp.opencaselaw.ch/entscheid/bger_4A_275_2024</w:t>
      </w:r>
    </w:p>
    <w:p>
      <w:r>
        <w:t>FR: TF 4A_275/2024 du 11 juin 2024</w:t>
      </w:r>
    </w:p>
    <w:p>
      <w:r>
        <w:t>IT: TF 4A_275/2024 del 11 giugno 2024</w:t>
      </w:r>
    </w:p>
    <w:p>
      <w:pPr>
        <w:pStyle w:val="Heading2"/>
      </w:pPr>
      <w:r>
        <w:t>Erwägungen</w:t>
      </w:r>
    </w:p>
    <w:p>
      <w:r>
        <w:rPr>
          <w:b/>
        </w:rPr>
        <w:t>E. 1</w:t>
      </w:r>
    </w:p>
    <w:p>
      <w:r>
        <w:t>Mit Verfügung vom 27. Februar 2024 setzte das Mietgericht Dietikon dem Beschwerdeführer in einem von diesem angestrengten Ausweisungsverfahren eine Nachfrist von fünf Tagen an, um den ihm auferlegten Kostenvorschuss zu leisten.</w:t>
      </w:r>
    </w:p>
    <w:p>
      <w:r>
        <w:t>Mit Beschluss vom 30. April 2024 trat das Obergericht des Kantons Zürich auf eine vom Beschwerdeführer gegen die mietgerichtliche Verfügung vom 27. Februar 2024 erhobene Beschwerde nicht ein.</w:t>
      </w:r>
    </w:p>
    <w:p>
      <w:r>
        <w:t>Mit Eingabe vom 10. Mai 2024 erklärte der Beschwerdeführer dem Bundesgericht, den Beschluss des Obergerichts des Kantons Zürich vom 30. April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10. Mai 2024 nicht hinreichend mit den Erwägungen des angefochtenen Beschlusses des Obergerichts des Kantons Zürich vom 30. April 2024 auseinander und zeigt nicht rechtsgenügend auf, inwiefern die Vorinstanz mit ihrem Nichteintretensentscheid Bundesrecht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Der Beschwerdeführer wird bei diesem Verfahrensausgang kostenpflichtig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