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275/2023 vom 7. August 2023</w:t>
      </w:r>
    </w:p>
    <w:p>
      <w:r>
        <w:t>Bundesgericht, 2023-08-07, FR</w:t>
      </w:r>
    </w:p>
    <w:p>
      <w:r>
        <w:rPr>
          <w:b/>
        </w:rPr>
        <w:t xml:space="preserve">Quelle: </w:t>
      </w:r>
      <w:r>
        <w:t>https://mcp.opencaselaw.ch/entscheid/bger_4A_275_2023</w:t>
      </w:r>
    </w:p>
    <w:p>
      <w:r>
        <w:t>FR: TF 4A 275/2023 du 7 août 2023</w:t>
      </w:r>
    </w:p>
    <w:p>
      <w:r>
        <w:t>IT: TF 4A 275/2023 del 7 agosto 2023</w:t>
      </w:r>
    </w:p>
    <w:p>
      <w:pPr>
        <w:pStyle w:val="Heading2"/>
      </w:pPr>
      <w:r>
        <w:t>Regeste</w:t>
      </w:r>
    </w:p>
    <w:p>
      <w:r>
        <w:t>contrat d'entreprise, | Droit des contrats</w:t>
      </w:r>
    </w:p>
    <w:p>
      <w:pPr>
        <w:pStyle w:val="Heading2"/>
      </w:pPr>
      <w:r>
        <w:t>Erwägungen</w:t>
      </w:r>
    </w:p>
    <w:p>
      <w:r>
        <w:rPr>
          <w:b/>
        </w:rPr>
        <w:t>E. 1</w:t>
      </w:r>
    </w:p>
    <w:p>
      <w:r>
        <w:t>Les conditions de recevabilité du recours en matière civile sont satisfaites sur le principe, notamment à raison de la valeur litigieuse ( art. 74 LTF ). Demeure réservé l'examen de la recevabilité, sous l'angle de leur motivation, des différents griefs invoqués par la recourante.</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rPr>
          <w:b/>
        </w:rPr>
        <w:t>E. 3</w:t>
      </w:r>
    </w:p>
    <w:p>
      <w:r>
        <w:t>Il est constant qu'un contrat d'entreprise ( art. 363 ss CO ) portant sur l'exécution de travaux électriques a été conclu par les parties. Le litige porte sur le point de savoir si l'intimée a accepté ou non les travaux supplémentaires exécutés par la recourante. Cette dernière reproche à l'autorité précédente d'avoir rejeté ses prétentions en paiement du solde de sa facture du 19 mai 2010, correspondant à son avis à des travaux complémentaires commandés en cours de chantier par le maître de l'ouvrage.</w:t>
      </w:r>
    </w:p>
    <w:p>
      <w:r>
        <w:rPr>
          <w:b/>
        </w:rPr>
        <w:t>E. 4</w:t>
      </w:r>
    </w:p>
    <w:p>
      <w:r>
        <w:t>Dans un moyen qu'il convient d'examiner en premier lieu, la recourante, se plaignant d'une appréciation des preuves arbitraire, reproche à la cour cantonale d'avoir écarté les rapports d'expertise établis par E.________.</w:t>
      </w:r>
    </w:p>
    <w:p>
      <w:r>
        <w:rPr>
          <w:b/>
        </w:rPr>
        <w:t>E. 4.1</w:t>
      </w:r>
    </w:p>
    <w:p>
      <w:r>
        <w:t>Le juge apprécie librement la force probante d'une expertise, comme tout moyen de preuve. Le Tribunal fédéral ne revoit cette question qui relève de la libre appréciation des preuves que sous l'angle de l'arbitraire ( ATF 138 III 193 consid. 4.3.1 et les références citées; arrêt 4A_483/2014 du 25 novembre 2014 consid. 6.1). Dans le domaine des connaissances professionnelles particulières de l'expert, le juge ne peut s'écarter de son opinion que pour des motifs importants qu'il lui incombe d'indiquer, par exemple lorsque le rapport d'expertise présente des contradictions ou attribue un sens ou une portée inexacts aux documents et déclarations auxquels il se réfère ( ATF 101 IV 129 consid. 3a); le juge est même tenu de recueillir des preuves complémentaires lorsque les conclusions de l'expertise judiciaire se révèlent douteuses sur des points essentiels ( ATF 138 III 193 consid. 4.3.1).</w:t>
      </w:r>
    </w:p>
    <w:p>
      <w:r>
        <w:rPr>
          <w:b/>
        </w:rPr>
        <w:t>E. 4.2</w:t>
      </w:r>
    </w:p>
    <w:p>
      <w:r>
        <w:t>En l'espèce, la cour cantonale a constaté que l'expert précité s'était contenté de donner quelques exemples de ce qui constituait pour lui des commandes supplémentaires, sans motiver ses réponses ni expliquer sur quels éléments il s'était fondé, qu'il n'avait pas davantage détaillé chaque commande supplémentaire ni fait le moindre lien avec les éléments facturés. L'expert en question n'avait pas non plus procédé à l'examen circonstancié des divers postes commentés par l'architecte dans sa fiche de contrôle du 9 juin 2010. Dans ces conditions, la juridiction cantonale a estimé, à l'instar des premiers juges, qu'elle n'était pas en mesure de vérifier que l'expert avait correctement rempli sa mission, dès lors que celui-ci s'était contenté d'affirmer qu'il y avait eu des commandes supplémentaires sans nullement les documenter. Elle a en outre pointé du doigt le caractère peu clair et lacunaire des rapports d'expertise de E.________. Par conséquent, la cour cantonale a considéré que lesdites expertises, de même que le rapport dépourvu de conclusions de l'experte F.________, ne permettaient pas d'établir que le maître d'ouvrage aurait effectué des modifications de commandes ou passé des commandes supplémentaires en sus de celles qu'il avait admises et qui l'avaient conduit à verser un montant de 90'988 fr. 30 à la recourante.</w:t>
      </w:r>
    </w:p>
    <w:p>
      <w:r>
        <w:rPr>
          <w:b/>
        </w:rPr>
        <w:t>E. 4.3</w:t>
      </w:r>
    </w:p>
    <w:p>
      <w:r>
        <w:t>A l'encontre de cette motivation détaillée, la recourante se contente de taxer l'appréciation des preuves opérée par la cour cantonale d'arbitraire, sans nullement en faire la démonstration. Elle ne fait rien d'autre que d'opposer sa propre lecture des rapports d'expertise réalisés par E.________ à celle de l'autorité précédente. Ce faisant, elle échoue manifestement à établir que la manière dont la juridiction cantonale a fait usage de son pouvoir d'appréciation des rapports d'expertise serait arbitraire. En tout état de cause, force est d'observer que lesdits rapports ne permettent pas de prouver que les différents postes supplémentaires mentionnés dans la facture finale du 19 mai 2010 auraient effectivement fait l'objet de commandes spécifiques de la part de l'intimée. Le grief considéré ne peut dès lors qu'être rejeté dans la mesure de sa recevabilité.</w:t>
      </w:r>
    </w:p>
    <w:p>
      <w:r>
        <w:rPr>
          <w:b/>
        </w:rPr>
        <w:t>E. 5</w:t>
      </w:r>
    </w:p>
    <w:p>
      <w:r>
        <w:t>Dans un moyen qu'il convient d'examiner en deuxième lieu, la recourante, invoquant les art. 221 et 222 CPC , reproche à la cour cantonale d'avoir méconnu les règles relatives au fardeau de l'allégation et à la charge de la motivation de la contestation.</w:t>
      </w:r>
    </w:p>
    <w:p>
      <w:r>
        <w:rPr>
          <w:b/>
        </w:rPr>
        <w:t>E. 5.1</w:t>
      </w:r>
    </w:p>
    <w:p>
      <w:r>
        <w:t>Dans l'arrêt attaqué, la cour cantonale a observé que les premiers juges avaient retenu que certains allégués portant sur des éléments déterminants du litige étaient soumis à la preuve par pièces, mais que lesdits allégués n'étaient pas suffisamment précis, raison pour laquelle il ne leur appartenait pas d'aller chercher les faits permettant de justifier des commandes supplémentaires dans la multitude de pièces produites, dans la mesure où les faits n'avaient pas été allégués correctement. L'autorité précédente a relevé que l'intéressée s'appuyait, dans son appel, sur une série de pièces censées démontrer qu'il y avait eu de très nombreuses demandes de travaux supplémentaires de la part de l'intimée. Cela étant, elle a souligné que l'énumération de ces pièces laissait intacte la conclusion des premiers juges selon laquelle les allégations de fait topiques n'étaient pas suffisamment précises.</w:t>
      </w:r>
    </w:p>
    <w:p>
      <w:r>
        <w:rPr>
          <w:b/>
        </w:rPr>
        <w:t>E. 5.2</w:t>
      </w:r>
    </w:p>
    <w:p>
      <w:r>
        <w:t>Devant le Tribunal fédéral, la recourante dénonce, pour la première fois au cours de la procédure, une violation des art. 221 et 222 CPC , en prétendant que l'autorité précédente aurait considéré à tort que les allégations qu'elle avait formulées en lien avec les travaux supplémentaires approuvés par l'intimée n'étaient pas suffisamment précises. Elle fait également valoir pour la première fois que l'intimée n'aurait pas motivé de manière suffisamment précise sa contestation de la facture finale du 19 mai 2010 détaillant les prestations exécutées par la recourante. Comme le souligne l'intimée sans être contredite par son adversaire, la recourante n'a pas soulevé le moyen pris de la violation des art. 221 et 222 CPC devant la cour cantonale. Le grief considéré est dès lors irrecevable, faute de satisfaire au principe de l'épuisement des griefs ( ATF 143 III 290 consid. 1.1; arrêt 4A_483/2022 du 8 mars 2023 consid. 4). En tout état de cause, on relèvera que la cour cantonale a retenu, à bon droit, que l'énumération en deuxième instance par la recourante de certaines pièces ainsi que le résumé de leur contenu ne suffisaient pas à remettre en cause la motivation des premiers juges quant à l'absence d'allégations suffisamment précises en lien avec les travaux supplémentaires. Il ressort, par ailleurs, des faits constatés dans l'arrêt attaqué que l'intimée a contesté à plusieurs reprises le bien-fondé de la facture finale de la recourante en motivant sa position dans plusieurs courriers.</w:t>
      </w:r>
    </w:p>
    <w:p>
      <w:r>
        <w:rPr>
          <w:b/>
        </w:rPr>
        <w:t>E. 6.1</w:t>
      </w:r>
    </w:p>
    <w:p>
      <w:r>
        <w:t>Dans un dernier moyen, la recourante soutient que la cour cantonale aurait commis une "erreur dans la qualification du contrat" et qu'elle aurait omis de tenir compte du fait que les parties avaient intégré la norme SIA 118 à leur contrat. A son avis, il conviendrait, en l'espèce, d'appliquer la "méthode selon les prix unitaires et les métrés" pour fixer la rémunération qui lui est due, et non pas d'avoir recours aux règles relatives au devis approximatif, notion ne figurant prétendument pas dans la norme SIA 118.</w:t>
      </w:r>
    </w:p>
    <w:p>
      <w:r>
        <w:rPr>
          <w:b/>
        </w:rPr>
        <w:t>E. 6.2</w:t>
      </w:r>
    </w:p>
    <w:p>
      <w:r>
        <w:t>En l'occurrence, l'autorité précédente, après avoir exposé les principes applicables en matière de rémunération de l'entrepreneur, a relevé que le contrat d'entreprise conclu le 19 novembre 2008 prévoyait une rémunération basée sur les prix et quantités de l'offre du 11 septembre 2008 d'un montant total brut de 56'727 fr. 75 dont à déduire un rabais de 2%. Elle a considéré qu'il s'agissait d'un devis approximatif au sens de l' art. 375 CO et que la fixation du prix devait s'effectuer selon les frais effectifs, l'entrepreneur devant pour ce faire démontrer l'existence des éléments nécessaires, soit notamment que les prestations exécutées par ses soins correspondaient à la convention d'origine ou aux modifications approuvées ultérieurement par les parties. Or, la cour cantonale a considéré que la recourante avait échoué à démontrer que tous les travaux supplémentaires réalisés par rapport à ceux figurant dans l'offre initiale auraient été acceptés par l'intimée, celle-ci ayant uniquement reconnu, en cours de procédure, avoir passé deux commandes de travaux supplémentaires. A titre superfétatoire, elle a relevé qu'il ne suffisait pas de vérifier, comme l'avait fait l'expert judiciaire, que les métrés correspondaient bien à ceux mentionnés dans la facture finale pour admettre que les travaux exécutés correspondaient bel et bien à ceux qui avaient été approuvés par l'intimée.</w:t>
      </w:r>
    </w:p>
    <w:p>
      <w:r>
        <w:rPr>
          <w:b/>
        </w:rPr>
        <w:t>E. 6.3</w:t>
      </w:r>
    </w:p>
    <w:p>
      <w:r>
        <w:t>Contrairement à ce qu'affirme de manière péremptoire la recourante, l'autorité précédente n'a nullement méconnu le fait que les parties avaient intégré la norme SIA 118 à leur contrat, puisque cet élément ressort expressément de l'arrêt attaqué. L'intéressée fait du reste fausse route lorsqu'elle soutient que le concept de devis approximatif au sens de l' art. 375 CO serait étranger à la norme SIA 118, puisque l'art. 56 de ladite norme règle cette question. La recourante se contente pour le reste de critiquer, sur un mode appellatoire marqué, les considérations juridiques émises par la juridiction cantonale. Elle se borne, toutefois, à substituer sa propre interprétation du contrat passé par les parties et des circonstances factuelles topiques de la cause en litige à celle de la juridiction cantonale. Elle assoit du reste toute son argumentation juridique sur la prémisse de fait, non avérée, selon laquelle les travaux supplémentaires exécutés par ses soins auraient été acceptés par l'intimée. C'est également en vain que l'intéressée tente de tirer un parallèle entre la présente cause et l'affaire ayant donné lieu au prononcé de l'arrêt fédéral 4A_106/2015 en date du 27 juillet 2015. Dans l'affaire en question, seule était en effet litigieuse la méthode de calcul du prix des travaux, étant précisé que le contrat de base prévoyait un prix forfaitaire, que les commandes supplémentaires n'étaient pas contestées et que l'entrepreneur avait régulièrement transmis au maître de l'ouvrage des rapports de chantier indiquant les unités et quantités de travaux effectués. En l'espèce, la situation est toute autre puisqu'il n'a pas été établi que les travaux supplémentaires exécutés par la recourante auraient été commandés et approuvés par l'intimée. Il s'ensuit le rejet du grief dans la mesure de sa recevabilité.</w:t>
      </w:r>
    </w:p>
    <w:p>
      <w:r>
        <w:rPr>
          <w:b/>
        </w:rPr>
        <w:t>E. 7</w:t>
      </w:r>
    </w:p>
    <w:p>
      <w:r>
        <w:t>Au vu de ce qui précède, le recours doit être rejeté dans la mesure de sa recevabilité. La recourante, qui succombe supportera les frais de la présente procédure ( art. 66 al. 1 LTF ) et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