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4A_275/2020 vom 26. Oktober 2020</w:t>
      </w:r>
    </w:p>
    <w:p>
      <w:r>
        <w:t>Bundesgericht, 2020-10-26, DE</w:t>
      </w:r>
    </w:p>
    <w:p>
      <w:r>
        <w:rPr>
          <w:b/>
        </w:rPr>
        <w:t xml:space="preserve">Quelle: </w:t>
      </w:r>
      <w:r>
        <w:t>https://mcp.opencaselaw.ch/entscheid/bger_4A_275_2020</w:t>
      </w:r>
    </w:p>
    <w:p>
      <w:r>
        <w:t>FR: TF 4A_275/2020 du 26 octobre 2020</w:t>
      </w:r>
    </w:p>
    <w:p>
      <w:r>
        <w:t>IT: TF 4A_275/2020 del 26 ottobre 2020</w:t>
      </w:r>
    </w:p>
    <w:p>
      <w:pPr>
        <w:pStyle w:val="Heading2"/>
      </w:pPr>
      <w:r>
        <w:t>Erwägungen</w:t>
      </w:r>
    </w:p>
    <w:p>
      <w:r>
        <w:rPr>
          <w:b/>
        </w:rPr>
        <w:t>E. 1</w:t>
      </w:r>
    </w:p>
    <w:p>
      <w:r>
        <w:t>Nach Art. 55 Abs. 1 ZPO haben unter der Geltung der Verhandlungsmaxime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 des Bundesgerichts 4A_412/2019 vom 27. April 2020 E. 4.1). Ein solchermassen vollständiger Tatsachenvortrag wird als schlüssig bezeichnet, da er bei Unterstellung, er sei wahr, den Schluss auf die anbegehrte Rechtsfolge zulässt (zit. Urteil 4A_41 2/2019 E. 4.1 mit Hinweisen; vgl. auch BGE 127 III 365 E. 2b S. 368).</w:t>
      </w:r>
    </w:p>
    <w:p>
      <w:r>
        <w:rPr>
          <w:b/>
        </w:rPr>
        <w:t>E. 1.1</w:t>
      </w:r>
    </w:p>
    <w:p>
      <w:r>
        <w:t>Die Behauptungs- und Substanziierungslast zwingt die damit belastete Partei nicht, sämtliche möglichen Einwände der Gegenpartei vorweg zu entkräften (Urteile des Bundesgerichts 4A_533/2019 vom 22. April 2020 E. 4.4.1; 4A_591/2012 vom 20. Februar 2013 E. 3.2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S. 523; 127 III 365 E. 2b S. 368 mit Hinweisen; vgl. zum Ganzen: Urteil des Bundesgerichts 4A_605/2019 vom 27. Mai 2020 E.4.1.1).</w:t>
      </w:r>
    </w:p>
    <w:p>
      <w:r>
        <w:rPr>
          <w:b/>
        </w:rPr>
        <w:t>E. 1.2</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 BGE 141 III 433 E. 2.6 S. 438 mit Hinweisen).</w:t>
      </w:r>
    </w:p>
    <w:p>
      <w:r>
        <w:rPr>
          <w:b/>
        </w:rPr>
        <w:t>E. 2</w:t>
      </w:r>
    </w:p>
    <w:p>
      <w:r>
        <w:t>Das Bundesgericht wendet das Recht von Amtes wegen an ( Art. 106 Abs. 1 BGG ). Unerlässlich ist im Hinblick auf Art. 42 Abs. 2 BGG aber,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2.2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2.1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Neue Vorbringen und Beweismittel sind nur zulässig, soweit erst der angefochtene Entscheid dazu Anlass gibt ( Art. 99 Abs. 1 BGG ), was wiederum näher darzulegen ist ( BGE 139 III 120 E. 3.1.2 S. 123; 134 V 223 E. 2.2.1 S. 226; 133 III 393 E. 3 S. 395).</w:t>
      </w:r>
    </w:p>
    <w:p>
      <w:r>
        <w:rPr>
          <w:b/>
        </w:rPr>
        <w:t>E. 2.3</w:t>
      </w:r>
    </w:p>
    <w:p>
      <w:r>
        <w:t>Das Bundesgericht ist keine letzte Appellationsinstanz, die von den Parteien mit vollkommenen Rechtsmitteln angerufen werden könnte.</w:t>
      </w:r>
    </w:p>
    <w:p>
      <w:r>
        <w:rPr>
          <w:b/>
        </w:rPr>
        <w:t>E. 2.3.1</w:t>
      </w:r>
    </w:p>
    <w:p>
      <w:r>
        <w:t>Zur hinreichenden Begründung einer Sachverhaltsrüge genügt es daher nicht, dem Bundesgericht, ohne eine substanziierte Sachverhaltsrüge zu erheben, einfach eine eigene Version des Sachverhalts zu unterbreiten und das angefochtene Urteil als willkürlich oder offensichtlich unhaltbar zu bezeichnen.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S. 266; 136 II 489 E. 2.8 S. 494).</w:t>
      </w:r>
    </w:p>
    <w:p>
      <w:r>
        <w:rPr>
          <w:b/>
        </w:rPr>
        <w:t>E. 2.3.2</w:t>
      </w:r>
    </w:p>
    <w:p>
      <w:r>
        <w:t>Daher reicht es beispielsweise nicht aus, Teile der Klageschrift oder der Berufungsschrift in die Beschwerde an das Bundesgericht zu kopieren und zu behaupten, damit sei der geltend gemachte Anspruch entgegen der Auffassung der kantonalen Instanzen hinreichend substanziiert. Eine derartige Begründung trägt zu einer effizienten Justiz nichts bei (Botschaft vom 28. Februar 2001 zur Totalrevision der Bundesrechtspflege, BBl 2001 4294 Ziff. 4.1.2.4 zu Art. 39 Abs. 2 E-BGG), denn das Bundesgericht müsste die Substanziierung umfassend überprüfen. In der Beschwerde wäre vielmehr aufzuzeigen, inwiefern Substanziierungsanforderungen gestellt werden, die zur Subsumierung des Sachverhalts unter die Bestimmungen des materiellen Rechts und mit Blick auf die Bestreitung der Prozessgegnerin zur Durchführung des Beweisverfahrens nicht notwendig sind (Urteil des Bundesgerichts 4A_709/2011 vom 31. Mai 2012 E. 1.4; vgl. BGE 108 II 337 E. 3 S. 341 f.; 133 III 153 E. 3.3 S. 162 mit Hinweisen). Ebensowenig genügt es, unter Hinweis auf die kantonalen Akten zu behaupten, dort sei ein Anspruch entgegen der Auffassung der Vorinstanz hinreichend substanziiert worden oder dort sei eine hinreichende Auseinandersetzung mit dem erstinstanzlichen Entscheid erfolgt, so dass die Begründungsanforderungen im Berufungsverfahren erfüllt seien. In der Beschwerde ist vielmehr, sofern sich dies nicht aus dem angefochtenen Entscheid bereits ergibt, kurz zusammenzufassen, was im kantonalen Verfahren vorgebracht wurde, und mit Aktenhinweis darzulegen, wo es prozesskonform in das Verfahren eingeführt wurde. Als eigentliche Begründung der Rüge ist sodann darauf einzugehen, weshalb die Forderungen unter Berücksichtigung dieser Vorbringen als hinreichend substanziiert beziehungsweise die Begründungsanforderungen an die Berufung als erfüllt anzusehen sind (vgl. Urteil des Bundesgerichts 4A_11/2020 vom 18. August 2020 E. 2.3.2; zit. Urteil 4A_709/2011 E. 1.4).</w:t>
      </w:r>
    </w:p>
    <w:p>
      <w:r>
        <w:rPr>
          <w:b/>
        </w:rPr>
        <w:t>E. 3</w:t>
      </w:r>
    </w:p>
    <w:p>
      <w:r>
        <w:t>Die Beschwerde scheitert im Wesentlichen an den in E. 2.3.2 hiervor dargelegten Begründungsanforderungen.</w:t>
      </w:r>
    </w:p>
    <w:p>
      <w:r>
        <w:rPr>
          <w:b/>
        </w:rPr>
        <w:t>E. 3.1</w:t>
      </w:r>
    </w:p>
    <w:p>
      <w:r>
        <w:t>Die Vorinstanz erachtete einerseits die Vorbingen der Beschwerdeführerin vor dem Bezirksgericht als nicht hinreichend substanziiert. Zudem beanstandete sie eine mangelnde Auseinandersetzung mit dem Entscheid des Bezirksgerichts.</w:t>
      </w:r>
    </w:p>
    <w:p>
      <w:r>
        <w:rPr>
          <w:b/>
        </w:rPr>
        <w:t>E. 3.1.1</w:t>
      </w:r>
    </w:p>
    <w:p>
      <w:r>
        <w:t>Zur hinreichenden Begründung ihrer Rügen müsste die Beschwerdeführerin zunächst aufzeigen, dass sie sich entgegen den Feststellungen der Vorinstanz tatsächlich hinreichend mit dem erstinstanzlichen Entscheid auseinandergesetzt hat, oder darauf eingehen, inwiefern die Vorinstanz die Begründungsanforderungen überspannt hat. Genügte die Berufung den Begründungsanforderungen nicht, hat es mit dem erstinstanzlichen Urteil sein Bewenden, unabhängig davon, ob es in der Sache zutrifft. Daher muss die Beschwerdeführerin entweder darauf eingehen, inwiefern ihre im angefochtenen Entscheid festgestellten Vorbringen entgegen der Auffassung der Vorinstanz eine hinreichende Auseinandersetzung mit dem erstinstanzlichen Entscheid darstellen, oder sie muss in der Beschwerde unter präzisem Hinweis auf die Akten (ein pauschaler Verweis auf die Berufung genügt nicht) kurz darlegen, was - sofern entscheidrelevant - sie über das im angefochtenen Entscheid Festgestellte hinaus in der Berufung ausgeführt haben will und inwiefern dies eine hinreichende Auseinandersetzung mit dem erstinstanzlichen Urteil darstellt.</w:t>
      </w:r>
    </w:p>
    <w:p>
      <w:r>
        <w:rPr>
          <w:b/>
        </w:rPr>
        <w:t>E. 3.1.2</w:t>
      </w:r>
    </w:p>
    <w:p>
      <w:r>
        <w:t>Sodann müsste sie in Bezug auf die Frage der hinreichenden Substanziierung analog vorgehen und entweder darlegen, inwiefern die im angefochtenen Entscheid festgestellten Vorbringen entgegen der Einschätzung der Vorinstanz eine hinreichende Substanziierung darstellen, oder aber unter präzisem Hinweis auf die Akten kurz zusammenfassen, was sie im erstinstanzlichen Verfahren über das im angefochtenen Entscheid Festgestellte hinaus ausgeführt hat und inwiefern dies als hinreichende Substanziierung anzusehen ist. Ferner müsste sie zur materiellen Ausschöpfung des Instanzenzuges (vgl. hierzu BGE 143 III 290 E. 1.1 S. 293; 134 III 524 E. 1.3 S. 527; je mit Hinweisen) aufzeigen, dass sie sich darauf schon im vorinstanzlichen Verfahren berufen hat, soweit sich dies nicht aus dem angefochtenen Entscheid oder ihren übrigen Ausführungen schon ergibt.</w:t>
      </w:r>
    </w:p>
    <w:p>
      <w:r>
        <w:rPr>
          <w:b/>
        </w:rPr>
        <w:t>E. 3.2</w:t>
      </w:r>
    </w:p>
    <w:p>
      <w:r>
        <w:t>Die Beschwerdeführerin geht in ihrer Beschwerde zunächst auf die Verrechnungsforderungen für die Rechnungen der C.________ GmbH ein. Sie macht geltend, entgegen der Auffassung der Vorinstanz beschreibe sie in ihrer Klage, auf die sie an dieser Stelle der Beschwerde verweist, jede der vorgelegten Rechnungen kurz, jedoch ausreichend, so dass ersichtlich sei, welche Arbeiten diese konkret beträfen. Aus ihrer expliziten Geltendmachung im Zusammenhang mit der Wartungs- und Reparaturpflicht der Beschwerdegegnerin aus Ziff. 16 des Pachtvertrages sei zudem klar ersichtlich, dass sie alle diese Arbeiten der vertraglichen Pflicht der Beschwerdegegnerin zu Unterhalt und Reparatur zuordne. Damit seien diese Rechnungen genügend substanziiert. Sie macht sodann geltend, sie gehe in ihrer Berufung explizit auf die Kritik der ersten Instanz ein, die vorgelegten Rechnungen seien nicht selbsterklärend. In ihrer Berufung lege sie dar, bei der Pflicht der Beschwerdegegnerin zur Wartung des IT-Systems handle es sich nicht um eine Pflicht zur Mängelbehebung. Die Beschwerdegegnerin sei auch ohne Mangel verpflichtet, das IT-System jederzeit zu warten und in einem gebrauchstauglichen Zustand zu halten. Sie habe dafür zu sorgen, dass das IT-System gar nicht mangelhaft werde. Da die vorgelegten Rechnungen zweifelsfrei die Wartung des IT-Systems beträfen, sei die Beschwerdeführerin nicht verpflichtet gewesen, jede einzelne Rechnung detailliert zu erklären, da diese Rechnungen eben selbsterklärend seien. Sobald es um die Wartung des IT-Systems im weiteren Sinne gehe, sei die Beschwerdegegnerin als Verpächterin zur Übernahme der Kosten verpflichtet.</w:t>
      </w:r>
    </w:p>
    <w:p>
      <w:r>
        <w:rPr>
          <w:b/>
        </w:rPr>
        <w:t>E. 3.2.1</w:t>
      </w:r>
    </w:p>
    <w:p>
      <w:r>
        <w:t>Die Beschwerdeführerin behauptet zwar mit Aktenhinweis, sie habe jede der vorgelegten Rechnungen kurz, jedoch ausreichend beschrieben, so dass ersichtlich sei, welche Arbeiten diese konkret beträfen. Sie legt vor Bundesgericht aber nicht dar, welche Angaben zu den einzelnen Rechnungen sie an der Stelle, auf die sie verweist, gemacht haben will und inwiefern diese Angaben genügen, um zu erkennen, welche Arbeiten die Rechnungen betrafen. Da sich dies auch aus dem angefochtenen Entscheid nicht ergibt, fehlt es bereits insoweit an einer hinreichenden Begründung.</w:t>
      </w:r>
    </w:p>
    <w:p>
      <w:r>
        <w:rPr>
          <w:b/>
        </w:rPr>
        <w:t>E. 3.2.2</w:t>
      </w:r>
    </w:p>
    <w:p>
      <w:r>
        <w:t>Dass die vorgelegten Rechnungen zweifelsfrei die Wartung betrafen, ist sodann eine blosse Behauptung der Beschwerdeführerin. Woraus sich dies zweifelsfrei erschliesst, wird in der Beschwerde nicht aufgezeigt und ergibt sich nicht aus dem angefochtenen Entscheid. Auch insoweit ist die Beschwerde nicht hinreichend begründet.</w:t>
      </w:r>
    </w:p>
    <w:p>
      <w:r>
        <w:rPr>
          <w:b/>
        </w:rPr>
        <w:t>E. 3.3</w:t>
      </w:r>
    </w:p>
    <w:p>
      <w:r>
        <w:t>Auch in Bezug auf die Verrechnungsforderung aus IT-Rechnungen der D.________ AG tritt die Beschwerdeführerin dem Vorwurf entgegen, sie habe sich nicht substanziiert mit den erstinstanzlichen Erwägungen auseinandergesetzt. Sie habe in ihrer Berufung dargelegt, weshalb sich aus dem mit dieser Firma abgeschlossenen Service Level Agreement Leistungspflichten für die Beschwerdegegnerin ergäben. Da die Rechnungen die Wartung der IT-Anlage betreffen würden und die Beschwerdegegnerin ihrer vertraglichen Pflicht nicht nachgekommen sei, sei der Beschwerdeführerin gar keine andere Wahl geblieben, als ein Service Level Agreement in eigenem Namen abzuschliessen. Es könne keinen Unterschied machen, ob es beim Vertrag um einmalige oder wiederkehrende Leistungen gehe.</w:t>
      </w:r>
    </w:p>
    <w:p>
      <w:r>
        <w:rPr>
          <w:b/>
        </w:rPr>
        <w:t>E. 3.3.1</w:t>
      </w:r>
    </w:p>
    <w:p>
      <w:r>
        <w:t>Bei diesen Ausführungen verweist die Beschwerdeführerin auf das Urteil des Kantonsgerichts sowie auf Klagebeilagen. Es fehlt aber der Hinweis, wo die entsprechenden Ausführungen in der Berufung erfolgt sein sollten. Bereits insoweit ist die Beschwerde nicht hinreichend begründet.</w:t>
      </w:r>
    </w:p>
    <w:p>
      <w:r>
        <w:rPr>
          <w:b/>
        </w:rPr>
        <w:t>E. 3.3.2</w:t>
      </w:r>
    </w:p>
    <w:p>
      <w:r>
        <w:t>Selbst wenn man aber mit Blick auf den Verweis im angefochtenen Entscheid einen separaten Hinweis als entbehrlich betrachten wollte, nützt dies der Beschwerdeführerin nichts. Allein die Tatsache, dass eine Rechnung IT-Wartung oder Unterhalt betrifft, für den gemäss Vertrag die Beschwerdegegnerin zu sorgen hatte, bedeutet nicht, dass diese den entsprechenden Betrag zu übernehmen hat - ganz unabhängig von der Frage, ob die gesetzlichen oder allenfalls vertraglichen Voraussetzungen für eine Ersatzvornahme erfüllt sind. Denn nur soweit der von der Beschwerdeführerin abgeschlossene Wartungsvertrag denjenigen IT-Unterhalt abdeckt, zu dem sich die Verpächterin im Pachtvertrag verpflichtet hat, und die Verpächterin diesen Unterhalt vertragswidrig nicht leistet, kann sich die Frage nach einer zulässigen, von der Beschwerdegegnerin voll zu entschädigenden Ersatzvornahme stellen. Wird nicht im Einzelnen dargelegt, welche Leistungen im Rahmen des Wartungsvertrages erbracht wurden, kann nicht beurteilt werden, ob die Leistungen dem vertraglich Geschuldeten entsprechen oder allenfalls über das Geschuldete hinausgehen. Dass es sich beim Vertrag um Wartungsarbeiten handelt, bedeutet nicht zwingend, dass diese von der Beschwerdegegnerin geschuldet waren. Soweit dies von der Beschwerdegegnerin bestritten wurde, hätte die Beschwerdeführerin einerseits substanziieren müssen, welches Mass an Wartung vertraglich geschuldet war, und andererseits, dass die gestützt auf den von ihr abgeschlossenen Vertrag erbrachten Leistungen diesem Mass entsprachen. Sonst kann die Beschwerdegegnerin nicht abschätzen, ob die Forderung der Beschwerdeführerin berechtigt ist. Denkbar wäre nämlich auch, dass die Beschwerdeführerin einen Wartungsvertrag abgeschlossen hat, der über das objektiv Notwendige oder das vertraglich Vereinbarte hinausgeht. Dass die Beschwerdeführerin insoweit hinreichende Angaben gemacht hat, ergibt sich weder aus ihrer Beschwerde noch zeigt sie dies in ihrer Berufung auf. Damit ist nicht zu beanstanden, dass die Vorinstanz ihre Vorbringen als nicht hinreichend substanziiert und ihre Ausführungen in der Berufung als ungenügend betrachtet hat.</w:t>
      </w:r>
    </w:p>
    <w:p>
      <w:r>
        <w:rPr>
          <w:b/>
        </w:rPr>
        <w:t>E. 3.4</w:t>
      </w:r>
    </w:p>
    <w:p>
      <w:r>
        <w:t>Auch in Bezug auf die Verrechnungsforderung im Zusammenhang mit dem WIR-Kredit beschränkt sich die Beschwerdeführerin im Wesentlichen darauf vorzubringen, mit dem Kredit seien Fertigstellungsarbeiten ausgeführt worden, die gemäss Ziff. 12 des Pachtvertrages eindeutig von der Beschwerdegegnerin hätten ausgeführt werden müssen. Sodann legt sie dar, warum entgegen der Auffassung der Vorinstanz klar ersichtlich sei, weshalb die von ihr angerufene Zeugin relevante Aussagen dazu hätte machen können, dass es sich um Fertigstellungsarbeiten gehandelt habe. Sie zeigt aber nicht rechtsgenüglich auf, was sie diesbezüglich in der Berufung ausgeführt haben will und inwiefern darin eine rechtsgenügliche Auseinandersetzung mit dem erstinstanzlichen Entscheid zu sehen ist. Auch diese Rüge ist nicht hinreichend begründet.</w:t>
      </w:r>
    </w:p>
    <w:p>
      <w:r>
        <w:rPr>
          <w:b/>
        </w:rPr>
        <w:t>E. 3.5</w:t>
      </w:r>
    </w:p>
    <w:p>
      <w:r>
        <w:t>In Bezug auf das Recht zur Ersatzvornahme fasst die Beschwerdeführerin zwar zusammen, was sie als Auseinandersetzung mit dem erstinstanzlichen Entscheid vorgebracht haben will. Es fehlt aber wiederum an einer präzisen Angabe, wo die entsprechenden Ausführungen gemacht wurden. In der Sache macht sie geltend, sie habe sich sehr wohl zu den Voraussetzungen für eine gültige Ersatzvornahme geäussert, und zwar indem sie dargelegt habe, dass deren Vorliegen im konkreten Fall nicht notwendig gewesen sei. Denn die Beschwerdegegnerin sei zur Wartung des IT-Systems verpflichtet und diese Verpflichtung müsse bereits vor dem Vorliegen von konkreten Mängeln befolgt werden. Indem die Beschwerdegegnerin dieser Pflicht nicht nachgekommen sei, habe sich die Beschwerdeführerin gezwungen gesehen, dies selbst zu tun. Damit habe sie ausreichend dargelegt, weshalb die formellen Voraussetzungen für eine Ersatzvornahme im konkreten Fall nicht hätten gegeben sein müssen.</w:t>
      </w:r>
    </w:p>
    <w:p>
      <w:r>
        <w:t>Der Beschwerdeführerin kann nicht gefolgt werden. Zwar kann eine Pflicht zur Wartung bestehen, auch wenn noch keine Mängel am System entstanden sind. Wurde die Wartung vertraglich zugesichert, kann mithin die fehlende Wartung für sich alleine schon einen Mangel darstellen. Allein aus dem Auftreten von Mängeln kann indessen weder zwingend auf eine mangelhafte Wartung geschlossen werden, noch darauf, dass die formellen Voraussetzungen für die Zulässigkeit einer Ersatzvornahme nicht eingehalten werden müssten. Treten konkrete Mängel auf, ist es unter dem Gesichtspunkt der Schadenminderungspflicht unter Umständen zwar geboten, direkt für die Schadensbehebung besorgt zu sein. So verhält es sich namentlich, wenn bei Beachtung der formellen Anforderungen nach dem gewöhnlichen Lauf der Dinge mit dem Eintritt eines höheren Schadens zu rechnen ist, oder die Beachtung der Anforderungen von Vornherein als sinnlos erscheint, weil ausgeschlossen werden kann, dass die Verpflichtete aufgrund einer Mahnung tätig würde. Auch ist denkbar, dass die Parteien vertraglich das Recht auf Ersatzvornahme zu Gunsten der Pächterin ( Art. 288 Abs. 2 OR ) vom Gesetz abweichend regeln. Mit ihren Ausführungen vor Bundesgericht zeigt die Beschwerdeführerin aber nicht rechtsgenüglich auf, dass sie im kantonalen Verfahren Derartiges rechtzeitig hinreichend substanziiert behauptet hätte. Damit ist es nicht zu beanstanden, wenn die Vorinstanz die diesbezüglichen Vorbringen der Beschwerdeführerin als unzulänglich erachtete.</w:t>
      </w:r>
    </w:p>
    <w:p>
      <w:r>
        <w:rPr>
          <w:b/>
        </w:rPr>
        <w:t>E. 4</w:t>
      </w:r>
    </w:p>
    <w:p>
      <w:r>
        <w:t>Insgesamt erhebt die Beschwerdeführerin keine stichhaltige, hinreichend begründete Rüge. 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